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楷体_GB2312" w:eastAsia="楷体_GB2312"/>
          <w:sz w:val="32"/>
          <w:szCs w:val="32"/>
        </w:rPr>
      </w:pPr>
    </w:p>
    <w:p>
      <w:pPr>
        <w:spacing w:line="600" w:lineRule="exact"/>
        <w:jc w:val="center"/>
        <w:rPr>
          <w:rFonts w:ascii="楷体_GB2312" w:eastAsia="楷体_GB2312"/>
          <w:sz w:val="32"/>
          <w:szCs w:val="32"/>
        </w:rPr>
      </w:pPr>
      <w:r>
        <w:rPr>
          <w:rFonts w:ascii="仿宋_GB2312" w:eastAsia="仿宋_GB2312"/>
          <w:sz w:val="32"/>
          <w:szCs w:val="32"/>
        </w:rPr>
        <w:pict>
          <v:shape id="_x0000_s1029" o:spid="_x0000_s1029" o:spt="136" type="#_x0000_t136" style="position:absolute;left:0pt;margin-left:0.05pt;margin-top:-5.35pt;height:84.75pt;width:436.65pt;z-index:25167257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00" w:lineRule="exact"/>
        <w:jc w:val="center"/>
        <w:rPr>
          <w:rFonts w:ascii="楷体_GB2312" w:eastAsia="楷体_GB2312"/>
          <w:sz w:val="32"/>
          <w:szCs w:val="32"/>
        </w:rPr>
      </w:pPr>
    </w:p>
    <w:p>
      <w:pPr>
        <w:spacing w:line="560" w:lineRule="exact"/>
        <w:jc w:val="both"/>
        <w:rPr>
          <w:rFonts w:ascii="楷体_GB2312" w:eastAsia="楷体_GB2312"/>
          <w:sz w:val="32"/>
          <w:szCs w:val="32"/>
        </w:rPr>
      </w:pPr>
    </w:p>
    <w:p>
      <w:pPr>
        <w:spacing w:after="0" w:line="560" w:lineRule="exact"/>
        <w:jc w:val="center"/>
        <w:rPr>
          <w:rFonts w:ascii="仿宋_GB2312" w:hAnsi="仿宋_GB2312" w:eastAsia="仿宋_GB2312"/>
          <w:sz w:val="32"/>
          <w:szCs w:val="32"/>
        </w:rPr>
      </w:pPr>
      <w:r>
        <w:rPr>
          <w:rFonts w:hint="eastAsia" w:ascii="仿宋_GB2312" w:hAnsi="仿宋_GB2312" w:eastAsia="仿宋_GB2312" w:cs="仿宋_GB2312"/>
          <w:sz w:val="32"/>
          <w:szCs w:val="32"/>
        </w:rPr>
        <w:t>滕政办发〔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号</w:t>
      </w:r>
    </w:p>
    <w:p>
      <w:pPr>
        <w:spacing w:after="0" w:line="560" w:lineRule="exact"/>
        <w:jc w:val="center"/>
        <w:rPr>
          <w:rFonts w:ascii="楷体_GB2312" w:eastAsia="楷体_GB2312"/>
          <w:sz w:val="32"/>
          <w:szCs w:val="32"/>
        </w:rPr>
      </w:pPr>
      <w:bookmarkStart w:id="0" w:name="_GoBack"/>
      <w:r>
        <w:rPr>
          <w:rFonts w:ascii="仿宋_GB2312" w:eastAsia="仿宋_GB2312"/>
          <w:sz w:val="32"/>
          <w:szCs w:val="32"/>
        </w:rPr>
        <w:pict>
          <v:line id="_x0000_s1030" o:spid="_x0000_s1030" o:spt="20" style="position:absolute;left:0pt;margin-left:-1.05pt;margin-top:18.45pt;height:0.05pt;width:405pt;z-index:251712512;mso-width-relative:page;mso-height-relative:page;" filled="f" stroked="t" coordsize="21600,21600" o:gfxdata="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h8xWQ1AAAAAcBAAAP&#10;AAAAAAAAAAEAIAAAACIAAABkcnMvZG93bnJldi54bWxQSwECFAAUAAAACACHTuJAE6QKfeMBAACq&#10;AwAADgAAAAAAAAABACAAAAAjAQAAZHJzL2Uyb0RvYy54bWxQSwUGAAAAAAYABgBZAQAAeAUAAAAA&#10;">
            <v:path arrowok="t"/>
            <v:fill on="f" focussize="0,0"/>
            <v:stroke weight="2.25pt" color="#FF0000" joinstyle="round"/>
            <v:imagedata o:title=""/>
            <o:lock v:ext="edit" aspectratio="f"/>
          </v:line>
        </w:pict>
      </w:r>
      <w:bookmarkEnd w:id="0"/>
    </w:p>
    <w:p>
      <w:pPr>
        <w:spacing w:after="0" w:line="560" w:lineRule="exact"/>
        <w:jc w:val="center"/>
        <w:rPr>
          <w:rFonts w:ascii="楷体_GB2312" w:eastAsia="楷体_GB2312" w:cs="楷体_GB2312"/>
          <w:sz w:val="32"/>
          <w:szCs w:val="32"/>
        </w:rPr>
      </w:pPr>
      <w:r>
        <w:rPr>
          <w:rFonts w:ascii="楷体_GB2312" w:eastAsia="楷体_GB2312" w:cs="楷体_GB2312"/>
          <w:sz w:val="32"/>
          <w:szCs w:val="32"/>
        </w:rPr>
        <w:t xml:space="preserve">                                                                                                                </w:t>
      </w:r>
    </w:p>
    <w:p>
      <w:pPr>
        <w:spacing w:after="0" w:line="56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滕州市人民政府办公室</w:t>
      </w:r>
    </w:p>
    <w:p>
      <w:pPr>
        <w:spacing w:after="0" w:line="56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关于印发《滕州市遏制与防治艾滋病</w:t>
      </w:r>
    </w:p>
    <w:p>
      <w:pPr>
        <w:spacing w:line="56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s="方正小标宋简体"/>
          <w:color w:val="000000"/>
          <w:sz w:val="44"/>
          <w:szCs w:val="44"/>
        </w:rPr>
        <w:t>“十三五”行动计划》的通知</w:t>
      </w:r>
    </w:p>
    <w:p>
      <w:pPr>
        <w:spacing w:line="560" w:lineRule="exact"/>
        <w:jc w:val="center"/>
        <w:rPr>
          <w:rFonts w:ascii="方正小标宋简体" w:hAnsi="方正小标宋简体" w:eastAsia="方正小标宋简体"/>
          <w:spacing w:val="40"/>
          <w:sz w:val="44"/>
          <w:szCs w:val="44"/>
        </w:rPr>
      </w:pPr>
    </w:p>
    <w:p>
      <w:pPr>
        <w:pStyle w:val="4"/>
        <w:spacing w:before="0" w:beforeAutospacing="0" w:after="0" w:afterAutospacing="0" w:line="560" w:lineRule="exact"/>
        <w:rPr>
          <w:rFonts w:ascii="仿宋_GB2312" w:eastAsia="仿宋_GB2312" w:cs="Tahoma"/>
          <w:color w:val="000000"/>
          <w:sz w:val="32"/>
          <w:szCs w:val="32"/>
        </w:rPr>
      </w:pPr>
      <w:r>
        <w:rPr>
          <w:rFonts w:hint="eastAsia" w:ascii="仿宋_GB2312" w:eastAsia="仿宋_GB2312" w:cs="仿宋_GB2312"/>
          <w:color w:val="000000"/>
          <w:sz w:val="32"/>
          <w:szCs w:val="32"/>
        </w:rPr>
        <w:t>各镇人民政府、街道办事处，滕州经济开发区管委会，市政府各部门，各企事业单位：</w:t>
      </w:r>
    </w:p>
    <w:p>
      <w:pPr>
        <w:pStyle w:val="4"/>
        <w:spacing w:before="0" w:beforeAutospacing="0" w:after="0" w:afterAutospacing="0" w:line="560" w:lineRule="exact"/>
        <w:rPr>
          <w:rFonts w:ascii="仿宋_GB2312" w:eastAsia="仿宋_GB2312" w:cs="Tahoma"/>
          <w:color w:val="000000"/>
          <w:sz w:val="32"/>
          <w:szCs w:val="32"/>
        </w:rPr>
      </w:pPr>
      <w:r>
        <w:rPr>
          <w:rFonts w:ascii="仿宋_GB2312" w:hAnsi="仿宋_GB2312" w:cs="仿宋_GB2312"/>
          <w:sz w:val="32"/>
          <w:szCs w:val="32"/>
        </w:rPr>
        <w:t xml:space="preserve">   </w:t>
      </w:r>
      <w:r>
        <w:rPr>
          <w:rFonts w:hint="eastAsia" w:ascii="仿宋_GB2312" w:eastAsia="仿宋_GB2312" w:cs="仿宋_GB2312"/>
          <w:color w:val="000000"/>
          <w:sz w:val="32"/>
          <w:szCs w:val="32"/>
        </w:rPr>
        <w:t>《滕州市遏制与防治艾滋病“十三五”行动计划》已经市政府同意，现印发给你们，请认真贯彻落实。</w:t>
      </w:r>
    </w:p>
    <w:p>
      <w:pPr>
        <w:spacing w:line="560" w:lineRule="exact"/>
        <w:jc w:val="right"/>
        <w:rPr>
          <w:rFonts w:ascii="仿宋_GB2312" w:hAnsi="宋体" w:eastAsia="仿宋_GB2312"/>
          <w:color w:val="000000"/>
          <w:sz w:val="32"/>
          <w:szCs w:val="32"/>
        </w:rPr>
      </w:pPr>
    </w:p>
    <w:p>
      <w:pPr>
        <w:spacing w:after="0" w:line="560" w:lineRule="exact"/>
        <w:jc w:val="center"/>
        <w:rPr>
          <w:rFonts w:ascii="仿宋_GB2312" w:hAnsi="宋体" w:eastAsia="仿宋_GB2312" w:cs="仿宋_GB2312"/>
          <w:color w:val="000000"/>
          <w:sz w:val="32"/>
          <w:szCs w:val="32"/>
        </w:rPr>
      </w:pP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滕州市人民政府办公室</w:t>
      </w:r>
      <w:r>
        <w:rPr>
          <w:rFonts w:ascii="仿宋_GB2312" w:hAnsi="宋体" w:eastAsia="仿宋_GB2312" w:cs="仿宋_GB2312"/>
          <w:color w:val="000000"/>
          <w:sz w:val="32"/>
          <w:szCs w:val="32"/>
        </w:rPr>
        <w:t xml:space="preserve">  </w:t>
      </w:r>
    </w:p>
    <w:p>
      <w:pPr>
        <w:spacing w:line="560" w:lineRule="exact"/>
        <w:rPr>
          <w:rFonts w:ascii="仿宋_GB2312" w:hAnsi="宋体" w:eastAsia="仿宋_GB2312"/>
          <w:color w:val="000000"/>
          <w:sz w:val="32"/>
          <w:szCs w:val="32"/>
        </w:rPr>
      </w:pPr>
      <w:r>
        <w:rPr>
          <w:rFonts w:ascii="仿宋_GB2312" w:hAnsi="宋体" w:eastAsia="仿宋_GB2312" w:cs="仿宋_GB2312"/>
          <w:color w:val="000000"/>
          <w:sz w:val="32"/>
          <w:szCs w:val="32"/>
        </w:rPr>
        <w:t xml:space="preserve">                               2018</w:t>
      </w:r>
      <w:r>
        <w:rPr>
          <w:rFonts w:hint="eastAsia" w:ascii="仿宋_GB2312" w:hAnsi="宋体" w:eastAsia="仿宋_GB2312" w:cs="仿宋_GB2312"/>
          <w:color w:val="000000"/>
          <w:sz w:val="32"/>
          <w:szCs w:val="32"/>
        </w:rPr>
        <w:t>年</w:t>
      </w:r>
      <w:r>
        <w:rPr>
          <w:rFonts w:ascii="仿宋_GB2312" w:hAnsi="宋体" w:eastAsia="仿宋_GB2312" w:cs="仿宋_GB2312"/>
          <w:color w:val="000000"/>
          <w:sz w:val="32"/>
          <w:szCs w:val="32"/>
        </w:rPr>
        <w:t>7</w:t>
      </w:r>
      <w:r>
        <w:rPr>
          <w:rFonts w:hint="eastAsia" w:ascii="仿宋_GB2312" w:hAnsi="宋体" w:eastAsia="仿宋_GB2312" w:cs="仿宋_GB2312"/>
          <w:color w:val="000000"/>
          <w:sz w:val="32"/>
          <w:szCs w:val="32"/>
        </w:rPr>
        <w:t>月</w:t>
      </w:r>
      <w:r>
        <w:rPr>
          <w:rFonts w:ascii="仿宋_GB2312" w:hAnsi="宋体" w:eastAsia="仿宋_GB2312" w:cs="仿宋_GB2312"/>
          <w:color w:val="000000"/>
          <w:sz w:val="32"/>
          <w:szCs w:val="32"/>
        </w:rPr>
        <w:t>23</w:t>
      </w:r>
      <w:r>
        <w:rPr>
          <w:rFonts w:hint="eastAsia" w:ascii="仿宋_GB2312" w:hAnsi="宋体" w:eastAsia="仿宋_GB2312" w:cs="仿宋_GB2312"/>
          <w:color w:val="000000"/>
          <w:sz w:val="32"/>
          <w:szCs w:val="32"/>
        </w:rPr>
        <w:t>日</w:t>
      </w:r>
    </w:p>
    <w:p>
      <w:pPr>
        <w:spacing w:line="560" w:lineRule="exact"/>
        <w:rPr>
          <w:rFonts w:ascii="仿宋_GB2312" w:hAnsi="宋体" w:eastAsia="仿宋_GB2312"/>
          <w:color w:val="000000"/>
          <w:sz w:val="32"/>
          <w:szCs w:val="32"/>
        </w:rPr>
      </w:pPr>
    </w:p>
    <w:p>
      <w:pPr>
        <w:spacing w:line="560" w:lineRule="exact"/>
        <w:rPr>
          <w:rFonts w:ascii="仿宋_GB2312" w:hAnsi="宋体" w:eastAsia="仿宋_GB2312"/>
          <w:color w:val="000000"/>
          <w:sz w:val="32"/>
          <w:szCs w:val="32"/>
        </w:rPr>
      </w:pPr>
    </w:p>
    <w:p>
      <w:pPr>
        <w:pStyle w:val="4"/>
        <w:widowControl w:val="0"/>
        <w:adjustRightInd w:val="0"/>
        <w:snapToGrid w:val="0"/>
        <w:spacing w:before="0" w:beforeAutospacing="0" w:after="0" w:afterAutospacing="0" w:line="600" w:lineRule="exact"/>
        <w:jc w:val="center"/>
        <w:rPr>
          <w:rFonts w:ascii="方正小标宋简体" w:hAnsi="华文中宋" w:eastAsia="方正小标宋简体" w:cs="Tahoma"/>
          <w:color w:val="000000"/>
          <w:spacing w:val="-28"/>
          <w:sz w:val="44"/>
          <w:szCs w:val="44"/>
        </w:rPr>
      </w:pPr>
    </w:p>
    <w:p>
      <w:pPr>
        <w:pStyle w:val="4"/>
        <w:widowControl w:val="0"/>
        <w:adjustRightInd w:val="0"/>
        <w:snapToGrid w:val="0"/>
        <w:spacing w:before="0" w:beforeAutospacing="0" w:after="0" w:afterAutospacing="0" w:line="600" w:lineRule="exact"/>
        <w:jc w:val="center"/>
        <w:rPr>
          <w:rFonts w:ascii="方正小标宋简体" w:hAnsi="华文中宋" w:eastAsia="方正小标宋简体" w:cs="Tahoma"/>
          <w:color w:val="000000"/>
          <w:spacing w:val="-28"/>
          <w:sz w:val="44"/>
          <w:szCs w:val="44"/>
        </w:rPr>
      </w:pPr>
      <w:r>
        <w:rPr>
          <w:rFonts w:hint="eastAsia" w:ascii="方正小标宋简体" w:hAnsi="华文中宋" w:eastAsia="方正小标宋简体" w:cs="方正小标宋简体"/>
          <w:color w:val="000000"/>
          <w:spacing w:val="-28"/>
          <w:sz w:val="44"/>
          <w:szCs w:val="44"/>
        </w:rPr>
        <w:t>滕州市遏制与防治艾滋病“十三五”行动计划</w:t>
      </w:r>
    </w:p>
    <w:p>
      <w:pPr>
        <w:pStyle w:val="4"/>
        <w:widowControl w:val="0"/>
        <w:adjustRightInd w:val="0"/>
        <w:snapToGrid w:val="0"/>
        <w:spacing w:before="0" w:beforeAutospacing="0" w:after="0" w:afterAutospacing="0" w:line="600" w:lineRule="exact"/>
        <w:jc w:val="center"/>
        <w:rPr>
          <w:rFonts w:ascii="方正小标宋简体" w:hAnsi="华文中宋" w:eastAsia="方正小标宋简体" w:cs="Tahoma"/>
          <w:color w:val="000000"/>
          <w:spacing w:val="-28"/>
          <w:sz w:val="44"/>
          <w:szCs w:val="44"/>
        </w:rPr>
      </w:pP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仿宋_GB2312" w:hAnsi="仿宋_GB2312" w:eastAsia="仿宋_GB2312" w:cs="仿宋_GB2312"/>
          <w:color w:val="000000"/>
          <w:sz w:val="32"/>
          <w:szCs w:val="32"/>
        </w:rPr>
        <w:t>为落实《“健康中国</w:t>
      </w:r>
      <w:r>
        <w:rPr>
          <w:rFonts w:ascii="仿宋_GB2312" w:hAnsi="仿宋_GB2312" w:eastAsia="仿宋_GB2312" w:cs="仿宋_GB2312"/>
          <w:color w:val="000000"/>
          <w:sz w:val="32"/>
          <w:szCs w:val="32"/>
        </w:rPr>
        <w:t>2030</w:t>
      </w:r>
      <w:r>
        <w:rPr>
          <w:rFonts w:hint="eastAsia" w:ascii="仿宋_GB2312" w:hAnsi="仿宋_GB2312" w:eastAsia="仿宋_GB2312" w:cs="仿宋_GB2312"/>
          <w:color w:val="000000"/>
          <w:sz w:val="32"/>
          <w:szCs w:val="32"/>
        </w:rPr>
        <w:t>”规划纲要》和深化医药卫生体制改革部署，进一步推进艾滋病防治工作，切实维护广大人民群众身体健康，根据《枣庄市人民政府办公室关于印发枣庄市遏制与防治艾滋病“十三五”行动计划的通知》（枣政办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），制定本行动计划。</w:t>
      </w:r>
    </w:p>
    <w:p>
      <w:pPr>
        <w:pStyle w:val="4"/>
        <w:widowControl w:val="0"/>
        <w:adjustRightInd w:val="0"/>
        <w:snapToGrid w:val="0"/>
        <w:spacing w:before="0" w:beforeAutospacing="0" w:after="0" w:afterAutospacing="0" w:line="600" w:lineRule="exact"/>
        <w:ind w:firstLine="640" w:firstLineChars="200"/>
        <w:jc w:val="both"/>
        <w:rPr>
          <w:rFonts w:ascii="黑体" w:hAnsi="黑体" w:eastAsia="黑体" w:cs="Tahoma"/>
          <w:color w:val="000000"/>
          <w:sz w:val="32"/>
          <w:szCs w:val="32"/>
        </w:rPr>
      </w:pPr>
      <w:r>
        <w:rPr>
          <w:rFonts w:hint="eastAsia" w:ascii="黑体" w:hAnsi="黑体" w:eastAsia="黑体" w:cs="黑体"/>
          <w:color w:val="000000"/>
          <w:sz w:val="32"/>
          <w:szCs w:val="32"/>
        </w:rPr>
        <w:t>一、防治现状</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sz w:val="32"/>
          <w:szCs w:val="32"/>
        </w:rPr>
        <w:t>“十二五”期间，滕州市认真贯彻党中央、国务院决策部署，落实艾滋病防治各项措施，取得了显著进展。艾滋病检测力度持续加大，艾滋病病毒感染者和病人（以下简称感染者和病人）发现率得到明显提高，病死率明显降低，全市整体疫情控制在低流行水平，受艾滋病影响人群生活质量不断提高，社会歧视进一步减轻，基本实现了《中国遏制与防治艾滋病“十二五”行动计划》总体目标。</w:t>
      </w:r>
    </w:p>
    <w:p>
      <w:pPr>
        <w:pStyle w:val="4"/>
        <w:widowControl w:val="0"/>
        <w:adjustRightInd w:val="0"/>
        <w:snapToGrid w:val="0"/>
        <w:spacing w:before="0" w:beforeAutospacing="0" w:after="0" w:afterAutospacing="0" w:line="58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sz w:val="32"/>
          <w:szCs w:val="32"/>
        </w:rPr>
        <w:t>目前，我市艾滋病流行形势不容乐观，防治工作中新老问题和难点问题并存，防治任务更加艰巨。尚有一定数量的感染者和病人未被检测发现，性传播成为最主要传播途径，男性同性性行为人群感染率持续升高，卖淫嫖娼等违法犯罪活动及不安全性行为在一定范围存在等诸多因素加大了艾滋病传播风险，社交新媒体的普遍使用增强了易感染艾滋病行为的隐蔽性，人口频繁流动增加了预防干预难度。个别部门对防治工作重视不足，政策落实不到位，防治技术手段有限，防治能力尚不能满足工作需要，社会组织等社会力量参与防治的作用发挥还不够充分，仍需要长期不懈做好艾滋病防治各项工作。</w:t>
      </w:r>
    </w:p>
    <w:p>
      <w:pPr>
        <w:pStyle w:val="4"/>
        <w:widowControl w:val="0"/>
        <w:numPr>
          <w:ilvl w:val="0"/>
          <w:numId w:val="1"/>
        </w:numPr>
        <w:adjustRightInd w:val="0"/>
        <w:snapToGrid w:val="0"/>
        <w:spacing w:before="0" w:beforeAutospacing="0" w:after="0" w:afterAutospacing="0" w:line="580" w:lineRule="exact"/>
        <w:ind w:firstLine="640" w:firstLineChars="200"/>
        <w:jc w:val="both"/>
        <w:rPr>
          <w:rFonts w:ascii="黑体" w:hAnsi="黑体" w:eastAsia="黑体" w:cs="Tahoma"/>
          <w:color w:val="000000"/>
          <w:sz w:val="32"/>
          <w:szCs w:val="32"/>
        </w:rPr>
      </w:pPr>
      <w:r>
        <w:rPr>
          <w:rFonts w:hint="eastAsia" w:ascii="黑体" w:hAnsi="黑体" w:eastAsia="黑体" w:cs="黑体"/>
          <w:color w:val="000000"/>
          <w:sz w:val="32"/>
          <w:szCs w:val="32"/>
        </w:rPr>
        <w:t>总体要求</w:t>
      </w:r>
    </w:p>
    <w:p>
      <w:pPr>
        <w:pStyle w:val="4"/>
        <w:widowControl w:val="0"/>
        <w:numPr>
          <w:ilvl w:val="0"/>
          <w:numId w:val="2"/>
        </w:numPr>
        <w:adjustRightInd w:val="0"/>
        <w:snapToGrid w:val="0"/>
        <w:spacing w:before="0" w:beforeAutospacing="0" w:after="0" w:afterAutospacing="0" w:line="58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指导思想</w:t>
      </w:r>
    </w:p>
    <w:p>
      <w:pPr>
        <w:pStyle w:val="4"/>
        <w:widowControl w:val="0"/>
        <w:adjustRightInd w:val="0"/>
        <w:snapToGrid w:val="0"/>
        <w:spacing w:before="0" w:beforeAutospacing="0" w:after="0" w:afterAutospacing="0" w:line="580" w:lineRule="exact"/>
        <w:ind w:firstLine="640" w:firstLineChars="200"/>
        <w:jc w:val="both"/>
        <w:rPr>
          <w:rFonts w:ascii="仿宋_GB2312" w:hAnsi="仿宋_GB2312" w:eastAsia="仿宋_GB2312" w:cs="Tahoma"/>
          <w:color w:val="000000"/>
          <w:sz w:val="32"/>
          <w:szCs w:val="32"/>
        </w:rPr>
      </w:pPr>
      <w:r>
        <w:rPr>
          <w:rFonts w:hint="eastAsia" w:ascii="仿宋_GB2312" w:hAnsi="仿宋_GB2312" w:eastAsia="仿宋_GB2312" w:cs="仿宋_GB2312"/>
          <w:color w:val="000000"/>
          <w:sz w:val="32"/>
          <w:szCs w:val="32"/>
        </w:rPr>
        <w:t>全面贯彻党的十九大精神，深入学习贯彻习近平总书记系列重要讲话精神，认真落实党中央、国务院决策部署，牢固树立和贯彻落实创新、协调、绿色、开放、共享的发展理念，坚持正确的卫生与健康工作方针，全面落实法定防治职责，巩固当前防治成果，充分利用新技术、新方法，进一步提高防治成效，不断降低艾滋病疫情流行水平，保障人民群众身体健康，奋力推进健康滕州建设。</w:t>
      </w:r>
    </w:p>
    <w:p>
      <w:pPr>
        <w:pStyle w:val="4"/>
        <w:widowControl w:val="0"/>
        <w:numPr>
          <w:ilvl w:val="0"/>
          <w:numId w:val="2"/>
        </w:numPr>
        <w:adjustRightInd w:val="0"/>
        <w:snapToGrid w:val="0"/>
        <w:spacing w:before="0" w:beforeAutospacing="0" w:after="0" w:afterAutospacing="0" w:line="580" w:lineRule="exact"/>
        <w:ind w:firstLine="640" w:firstLineChars="200"/>
        <w:jc w:val="both"/>
        <w:rPr>
          <w:rFonts w:ascii="仿宋_GB2312" w:hAnsi="仿宋_GB2312" w:eastAsia="仿宋_GB2312" w:cs="Tahoma"/>
          <w:sz w:val="32"/>
          <w:szCs w:val="32"/>
        </w:rPr>
      </w:pPr>
      <w:r>
        <w:rPr>
          <w:rFonts w:hint="eastAsia" w:ascii="楷体_GB2312" w:hAnsi="楷体_GB2312" w:eastAsia="楷体_GB2312" w:cs="楷体_GB2312"/>
          <w:color w:val="000000"/>
          <w:sz w:val="32"/>
          <w:szCs w:val="32"/>
        </w:rPr>
        <w:t>工作原则</w:t>
      </w:r>
    </w:p>
    <w:p>
      <w:pPr>
        <w:pStyle w:val="4"/>
        <w:widowControl w:val="0"/>
        <w:adjustRightInd w:val="0"/>
        <w:snapToGrid w:val="0"/>
        <w:spacing w:before="0" w:beforeAutospacing="0" w:after="0" w:afterAutospacing="0" w:line="58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color w:val="000000"/>
          <w:sz w:val="32"/>
          <w:szCs w:val="32"/>
        </w:rPr>
        <w:t>坚持政府组织领导、部门各负其责、全社会共同参与；坚持预防为主、防治结合、依法防治、科学防治；坚持综合治理、突出重点、分类</w:t>
      </w:r>
      <w:r>
        <w:rPr>
          <w:rFonts w:hint="eastAsia" w:ascii="仿宋_GB2312" w:hAnsi="仿宋_GB2312" w:eastAsia="仿宋_GB2312" w:cs="仿宋_GB2312"/>
          <w:sz w:val="32"/>
          <w:szCs w:val="32"/>
        </w:rPr>
        <w:t>指导。</w:t>
      </w:r>
    </w:p>
    <w:p>
      <w:pPr>
        <w:pStyle w:val="4"/>
        <w:widowControl w:val="0"/>
        <w:numPr>
          <w:ilvl w:val="0"/>
          <w:numId w:val="2"/>
        </w:numPr>
        <w:adjustRightInd w:val="0"/>
        <w:snapToGrid w:val="0"/>
        <w:spacing w:before="0" w:beforeAutospacing="0" w:after="0" w:afterAutospacing="0" w:line="58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工作目标</w:t>
      </w:r>
    </w:p>
    <w:p>
      <w:pPr>
        <w:pStyle w:val="4"/>
        <w:widowControl w:val="0"/>
        <w:adjustRightInd w:val="0"/>
        <w:snapToGrid w:val="0"/>
        <w:spacing w:before="0" w:beforeAutospacing="0" w:after="0" w:afterAutospacing="0" w:line="58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sz w:val="32"/>
          <w:szCs w:val="32"/>
        </w:rPr>
        <w:t>最大限度发现感染者和病人，努力遏制性传播，基本消除输血传播和母婴传播，加强医疗救治和社会保障，逐步提高感染者和病人生存质量，不断减少社会歧视，将我省艾滋病疫情持续控制在低流行水平。</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城乡居民、流动人口艾滋病防治知识知晓率达</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以上。青年学生、监管场所被监管人员等重点人群以及易感染艾滋病危险行为人群防治知识知晓率均达</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以上。</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高危人群有效干预措施覆盖率达到</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的宾馆等公共场所摆放安全套或设置自动售套机；男性同性性行为人群艾滋病相关危险行为减少</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以上，其他性传播危险行为人群感染率控制在</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以下。</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夫</w:t>
      </w:r>
      <w:r>
        <w:rPr>
          <w:rFonts w:hint="eastAsia" w:ascii="仿宋_GB2312" w:hAnsi="仿宋_GB2312" w:eastAsia="仿宋_GB2312" w:cs="仿宋_GB2312"/>
          <w:spacing w:val="-12"/>
          <w:sz w:val="32"/>
          <w:szCs w:val="32"/>
        </w:rPr>
        <w:t>妻一方感染艾滋病家庭的配偶传播率下降到</w:t>
      </w:r>
      <w:r>
        <w:rPr>
          <w:rFonts w:ascii="仿宋_GB2312" w:hAnsi="仿宋_GB2312" w:eastAsia="仿宋_GB2312" w:cs="仿宋_GB2312"/>
          <w:spacing w:val="-12"/>
          <w:sz w:val="32"/>
          <w:szCs w:val="32"/>
        </w:rPr>
        <w:t>1%</w:t>
      </w:r>
      <w:r>
        <w:rPr>
          <w:rFonts w:hint="eastAsia" w:ascii="仿宋_GB2312" w:hAnsi="仿宋_GB2312" w:eastAsia="仿宋_GB2312" w:cs="仿宋_GB2312"/>
          <w:spacing w:val="-12"/>
          <w:sz w:val="32"/>
          <w:szCs w:val="32"/>
        </w:rPr>
        <w:t>以下。</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待孕妇女艾滋病病毒抗体筛查率达到</w:t>
      </w:r>
      <w:r>
        <w:rPr>
          <w:rFonts w:ascii="仿宋_GB2312" w:hAnsi="仿宋_GB2312" w:eastAsia="仿宋_GB2312" w:cs="仿宋_GB2312"/>
          <w:sz w:val="32"/>
          <w:szCs w:val="32"/>
        </w:rPr>
        <w:t xml:space="preserve">95% </w:t>
      </w:r>
      <w:r>
        <w:rPr>
          <w:rFonts w:hint="eastAsia" w:ascii="仿宋_GB2312" w:hAnsi="仿宋_GB2312" w:eastAsia="仿宋_GB2312" w:cs="仿宋_GB2312"/>
          <w:sz w:val="32"/>
          <w:szCs w:val="32"/>
        </w:rPr>
        <w:t>以上，感染艾滋病病毒的孕产妇接受母婴阻断的比例达到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，母婴阻断成功率达到</w:t>
      </w:r>
      <w:r>
        <w:rPr>
          <w:rFonts w:ascii="仿宋_GB2312" w:hAnsi="仿宋_GB2312" w:eastAsia="仿宋_GB2312" w:cs="仿宋_GB2312"/>
          <w:sz w:val="32"/>
          <w:szCs w:val="32"/>
        </w:rPr>
        <w:t>96%</w:t>
      </w:r>
      <w:r>
        <w:rPr>
          <w:rFonts w:hint="eastAsia" w:ascii="仿宋_GB2312" w:hAnsi="仿宋_GB2312" w:eastAsia="仿宋_GB2312" w:cs="仿宋_GB2312"/>
          <w:sz w:val="32"/>
          <w:szCs w:val="32"/>
        </w:rPr>
        <w:t>以上。</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参加戒毒药物维持治疗人员艾滋病年新发感染率控制在</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以下。</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献血员血液核酸检测率达到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，人口献血率达到</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千人口。</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sz w:val="32"/>
          <w:szCs w:val="32"/>
        </w:rPr>
        <w:t>经诊断发现并知晓自身感染状况的感染者和病人比例达</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以上。符合治疗条件的感染者和病人接受抗病毒治疗比例达</w:t>
      </w:r>
      <w:r>
        <w:rPr>
          <w:rFonts w:ascii="仿宋_GB2312" w:hAnsi="仿宋_GB2312" w:eastAsia="仿宋_GB2312" w:cs="仿宋_GB2312"/>
          <w:sz w:val="32"/>
          <w:szCs w:val="32"/>
        </w:rPr>
        <w:t xml:space="preserve"> 90%</w:t>
      </w:r>
      <w:r>
        <w:rPr>
          <w:rFonts w:hint="eastAsia" w:ascii="仿宋_GB2312" w:hAnsi="仿宋_GB2312" w:eastAsia="仿宋_GB2312" w:cs="仿宋_GB2312"/>
          <w:sz w:val="32"/>
          <w:szCs w:val="32"/>
        </w:rPr>
        <w:t>以上，接受抗病毒治疗的感染者和病人治疗成功率达</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以上。</w:t>
      </w:r>
    </w:p>
    <w:p>
      <w:pPr>
        <w:pStyle w:val="4"/>
        <w:widowControl w:val="0"/>
        <w:numPr>
          <w:ilvl w:val="0"/>
          <w:numId w:val="1"/>
        </w:numPr>
        <w:adjustRightInd w:val="0"/>
        <w:snapToGrid w:val="0"/>
        <w:spacing w:before="0" w:beforeAutospacing="0" w:after="0" w:afterAutospacing="0" w:line="600" w:lineRule="exact"/>
        <w:ind w:firstLine="640" w:firstLineChars="200"/>
        <w:jc w:val="both"/>
        <w:rPr>
          <w:rFonts w:ascii="黑体" w:hAnsi="黑体" w:eastAsia="黑体" w:cs="Tahoma"/>
          <w:sz w:val="32"/>
          <w:szCs w:val="32"/>
        </w:rPr>
      </w:pPr>
      <w:r>
        <w:rPr>
          <w:rFonts w:hint="eastAsia" w:ascii="黑体" w:hAnsi="黑体" w:eastAsia="黑体" w:cs="黑体"/>
          <w:sz w:val="32"/>
          <w:szCs w:val="32"/>
        </w:rPr>
        <w:t>防治措施</w:t>
      </w:r>
    </w:p>
    <w:p>
      <w:pPr>
        <w:pStyle w:val="4"/>
        <w:widowControl w:val="0"/>
        <w:numPr>
          <w:ilvl w:val="0"/>
          <w:numId w:val="3"/>
        </w:numPr>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hint="eastAsia" w:ascii="楷体_GB2312" w:hAnsi="楷体_GB2312" w:eastAsia="楷体_GB2312" w:cs="楷体_GB2312"/>
          <w:sz w:val="32"/>
          <w:szCs w:val="32"/>
        </w:rPr>
        <w:t>提高宣传教育针对性，增强公众艾滋病防治意识</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hint="eastAsia" w:ascii="仿宋_GB2312" w:hAnsi="仿宋_GB2312" w:eastAsia="仿宋_GB2312" w:cs="仿宋_GB2312"/>
          <w:sz w:val="32"/>
          <w:szCs w:val="32"/>
        </w:rPr>
        <w:t>加强艾滋病防治宣传教育，根据不同人群特点，开发适宜的宣传材料，提高信息针对性和可接受性。充分发挥社会公众人物影响和互联网、微博、微信等新媒体作用，开展艾滋病疫情信息交流与警示、感染风险评估、在线咨询等活动，增强宣传效果。</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深入开展普通人群宣传教育。强化社会主义核心价值观宣传，弘扬中华民族传统美德，引导群众自觉抵制卖淫嫖娼等社会丑恶现象，营造不歧视感染者和病人的社会氛围。宣传、网信、新闻出版广电、卫生计生等部门要充分发挥新闻媒体作用，指导将艾滋病防治宣传列入日常工作计划，每月至少开展</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艾滋病防治公益宣传。党校、行政学院要让学员在校期间接受艾滋病防治知识和政策专题培训。民族宗教、文化、农业、科技等部门要结合少数民族风俗习惯和社会主义新农村建设以及支农、惠农等活动，开展艾滋病防治宣传教育工作。居（村）民委员会要利用城乡社区综合服务设施，采取群众喜闻乐见的方式开展艾滋病防治宣传，引导健全村规民约，倡导公序良俗。工会、共青团、妇联、红十字会等单位要深入开展“职工红丝带健康行动”“青春红丝带”“妇女‘面对面’宣传教育”和“红丝带健康包”等专项行动。（</w:t>
      </w:r>
      <w:r>
        <w:rPr>
          <w:rFonts w:hint="eastAsia" w:ascii="仿宋_GB2312" w:hAnsi="仿宋_GB2312" w:eastAsia="仿宋_GB2312" w:cs="仿宋_GB2312"/>
          <w:b/>
          <w:bCs/>
          <w:sz w:val="32"/>
          <w:szCs w:val="32"/>
        </w:rPr>
        <w:t>市委宣传部、市网管办、滕州广播影视总台、市文广新局、市卫计局、市委党校、市民族宗教局、市农业局、市科技局、市总工会、团市委、市妇联、市红十字会</w:t>
      </w:r>
      <w:r>
        <w:rPr>
          <w:rFonts w:hint="eastAsia" w:ascii="仿宋_GB2312" w:hAnsi="仿宋_GB2312" w:eastAsia="仿宋_GB2312" w:cs="仿宋_GB2312"/>
          <w:b/>
          <w:bCs/>
          <w:color w:val="000000"/>
          <w:sz w:val="32"/>
          <w:szCs w:val="32"/>
        </w:rPr>
        <w:t>负责</w:t>
      </w:r>
      <w:r>
        <w:rPr>
          <w:rFonts w:hint="eastAsia" w:ascii="仿宋_GB2312" w:hAnsi="仿宋_GB2312" w:eastAsia="仿宋_GB2312" w:cs="仿宋_GB2312"/>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持续加强重点人群宣传教育。对于流动人口、青年学生、老年人、出国劳务人员、监管场所被监管人员等重点人群，应当强化艾滋病感染风险及道德法治教育，提高自我防护能力，避免和减少易感染艾滋病行为。教育、卫生计生和共青团等部门和单位要将性道德、性责任、预防和拒绝不安全性行为作为教育重点，督促学校落实预防艾滋病专题教育任务，积极发挥学生社团、青年志愿者和学生家长的作用，加强学校预防艾滋病和性健康的宣传教育。建立健全学校艾滋病疫情通报制度和定期会商机制，开展高校预防艾滋病教育试点工作并逐步推广。卫生计生、民政、市场监管等部门和单位要重点加强流动人口集中的用工单位和居住社区的艾滋病防治宣传工作。人力资源社会保障局要将艾滋病防治宣传纳入农村劳动力转移培训等职业培训内容。交通运输、市场监管等部门要利用机场、车站、码头、口岸等场所进行多种形式的艾滋病防治宣传。公安、司法等部门要将艾滋病防治宣传纳入监管场所教育内容。公安、司法、卫生计生、食品药品监管等部门要将预防艾滋病与禁毒工作相结合，加强合成毒品和滥用物质危害的宣传教育。民政、文化、卫生计生等部门要进一步丰富老年人业余文化生活。（</w:t>
      </w:r>
      <w:r>
        <w:rPr>
          <w:rFonts w:hint="eastAsia" w:ascii="仿宋_GB2312" w:hAnsi="仿宋_GB2312" w:eastAsia="仿宋_GB2312" w:cs="仿宋_GB2312"/>
          <w:b/>
          <w:bCs/>
          <w:color w:val="000000"/>
          <w:sz w:val="32"/>
          <w:szCs w:val="32"/>
        </w:rPr>
        <w:t>市教育局、市卫计局、团市委、市民政局、市市场监管局、市人社局、市交通局、市公安局、市司法局、市食药监局、市文广新局负责</w:t>
      </w:r>
      <w:r>
        <w:rPr>
          <w:rFonts w:hint="eastAsia" w:ascii="仿宋_GB2312" w:hAnsi="仿宋_GB2312" w:eastAsia="仿宋_GB2312" w:cs="仿宋_GB2312"/>
          <w:color w:val="000000"/>
          <w:sz w:val="32"/>
          <w:szCs w:val="32"/>
        </w:rPr>
        <w:t>）</w:t>
      </w:r>
    </w:p>
    <w:p>
      <w:pPr>
        <w:pStyle w:val="4"/>
        <w:widowControl w:val="0"/>
        <w:numPr>
          <w:ilvl w:val="0"/>
          <w:numId w:val="3"/>
        </w:numPr>
        <w:adjustRightInd w:val="0"/>
        <w:snapToGrid w:val="0"/>
        <w:spacing w:before="0" w:beforeAutospacing="0" w:after="0" w:afterAutospacing="0" w:line="60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提高综合干预实效性，有效控制性传播</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强化社会综合治理。要依法严厉打击卖淫嫖娼、聚众淫乱、吸毒贩毒等违法犯罪活动，加大城乡结合部、农村等薄弱地区打击力度，依法从重处罚容留与艾滋病传播危险行为相关活动的场所和人员。公安部门要落实与艾滋病有关案件的举报和立案处理程序，严厉打击利用感染者身份的违法犯罪活动。宣传、文化、公安、新闻出版广电、网信及通信主管部门要加强网络管理，结合打击网络传播淫秽色情信息等专项行动，及时清理传播色情信息、从事色情和毒品交易的网络平台和社交媒体。（</w:t>
      </w:r>
      <w:r>
        <w:rPr>
          <w:rFonts w:hint="eastAsia" w:ascii="仿宋_GB2312" w:hAnsi="仿宋_GB2312" w:eastAsia="仿宋_GB2312" w:cs="仿宋_GB2312"/>
          <w:b/>
          <w:bCs/>
          <w:color w:val="000000"/>
          <w:sz w:val="32"/>
          <w:szCs w:val="32"/>
        </w:rPr>
        <w:t>市公安局、市委宣传部、市文广新局、滕州广播影视总台、市网管办负责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着力控制性传播。加强易感染艾滋病危险行为人群的警示教育和法制宣传，突出疫情和危害严重性、有效防治措施等，促使其避免和减少易感染艾滋病危险行为。市场监管、旅游、文化、卫生计生等部门要全面落实宾馆等公共场所摆放安全套有关规定，采取措施提高安全套可及性和使用率。卫生计生部门要对夫妻一方感染艾滋病家庭全面实施综合干预措施，降低家庭内传播。要加强性病防治，及时对性病病人进行规范化诊断治疗，为性病就诊者提供艾滋病检测咨询服务，对感染者和病人开展性病筛查。（</w:t>
      </w:r>
      <w:r>
        <w:rPr>
          <w:rFonts w:hint="eastAsia" w:ascii="仿宋_GB2312" w:hAnsi="仿宋_GB2312" w:eastAsia="仿宋_GB2312" w:cs="仿宋_GB2312"/>
          <w:b/>
          <w:bCs/>
          <w:color w:val="000000"/>
          <w:sz w:val="32"/>
          <w:szCs w:val="32"/>
        </w:rPr>
        <w:t>市市场监管局、市旅服局、市文广新局、市卫计局负责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持续减少注射吸毒传播。保持禁毒工作的高压态势，进一步减缓新吸毒人员的增加速度，将艾滋病防治与禁毒工作紧密结合，减少注射吸毒传播艾滋病。公安、卫生计生、司法、民政、人社等部门要创新吸毒人员服务管理，最大限度地有效管控吸毒人员，开展针对性的戒毒治疗、康复指导和救助服务，帮助他们戒断毒瘾回归社会。对于适合戒毒药物维持治疗的吸毒人员，应当及时转介到戒毒药物维持治疗机构。卫生计生、公安、食药监等部门要进一步做好戒毒药物维持治疗工作的组织协调、信息交流和监督管理，维护治疗机构秩序，提高服务质量和防治效果。注射吸毒人员相对集中地区应当根据实际情况，增设戒毒药物维持治疗门诊或延伸服药点。戒毒药物维持治疗难以覆盖的地区应当继续开展清洁针具交换工作。（</w:t>
      </w:r>
      <w:r>
        <w:rPr>
          <w:rFonts w:hint="eastAsia" w:ascii="仿宋_GB2312" w:hAnsi="仿宋_GB2312" w:eastAsia="仿宋_GB2312" w:cs="仿宋_GB2312"/>
          <w:b/>
          <w:bCs/>
          <w:sz w:val="32"/>
          <w:szCs w:val="32"/>
        </w:rPr>
        <w:t>市公安局、市卫计局、市司法局、市民政局、市人社局、市食药监局</w:t>
      </w:r>
      <w:r>
        <w:rPr>
          <w:rFonts w:hint="eastAsia" w:ascii="仿宋_GB2312" w:hAnsi="仿宋_GB2312" w:eastAsia="仿宋_GB2312" w:cs="仿宋_GB2312"/>
          <w:b/>
          <w:bCs/>
          <w:color w:val="000000"/>
          <w:sz w:val="32"/>
          <w:szCs w:val="32"/>
        </w:rPr>
        <w:t>负责</w:t>
      </w:r>
      <w:r>
        <w:rPr>
          <w:rFonts w:hint="eastAsia" w:ascii="仿宋_GB2312" w:hAnsi="仿宋_GB2312" w:eastAsia="仿宋_GB2312" w:cs="仿宋_GB2312"/>
          <w:sz w:val="32"/>
          <w:szCs w:val="32"/>
        </w:rPr>
        <w:t>）</w:t>
      </w:r>
    </w:p>
    <w:p>
      <w:pPr>
        <w:pStyle w:val="4"/>
        <w:widowControl w:val="0"/>
        <w:numPr>
          <w:ilvl w:val="0"/>
          <w:numId w:val="3"/>
        </w:numPr>
        <w:adjustRightInd w:val="0"/>
        <w:snapToGrid w:val="0"/>
        <w:spacing w:before="0" w:beforeAutospacing="0" w:after="0" w:afterAutospacing="0" w:line="60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提高检测咨询可及性和随访服务规范性，最大限度发现感染者和减少传播</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扩大检测服务范围。卫生计生、市场监管、公安、司法、发展和改革、财政等部门要支持进一步健全实验室网络，构建布局合理、方便快捷的艾滋病自愿咨询检测网络，根据需要设置艾滋病确证检测实验室，提高检测能力。</w:t>
      </w:r>
      <w:r>
        <w:rPr>
          <w:rFonts w:hint="eastAsia" w:ascii="仿宋_GB2312" w:hAnsi="仿宋_GB2312" w:eastAsia="仿宋_GB2312" w:cs="仿宋_GB2312"/>
          <w:sz w:val="32"/>
          <w:szCs w:val="32"/>
        </w:rPr>
        <w:t>县级以上医疗机构、妇幼保健机构、疾病预防控制机构应当具备实验室艾滋病检测能力，社区卫生服务机构和乡镇卫生院应当具备快速检测能力。检测机构要主动为有感染艾滋病风险人员提供检测咨询服务。要将艾滋病、性病检测咨询纳入婚前自愿医学检查和重点公共场所服务人员健康体检。公安、司法、卫生计生部门要加强合作，为打击卖淫嫖娼、聚众淫乱、吸毒贩毒活动中抓获人员以及监管场所被监管人员提供艾滋病检测服务。检测机构要创新服务方式，强化主动服务意识，通过网络、电话预约等多种手段，方便有意愿人群接受检测服务。（</w:t>
      </w:r>
      <w:r>
        <w:rPr>
          <w:rFonts w:hint="eastAsia" w:ascii="仿宋_GB2312" w:hAnsi="仿宋_GB2312" w:eastAsia="仿宋_GB2312" w:cs="仿宋_GB2312"/>
          <w:b/>
          <w:bCs/>
          <w:sz w:val="32"/>
          <w:szCs w:val="32"/>
        </w:rPr>
        <w:t>市卫计局</w:t>
      </w:r>
      <w:r>
        <w:rPr>
          <w:rFonts w:hint="eastAsia" w:ascii="仿宋_GB2312" w:hAnsi="仿宋_GB2312" w:eastAsia="仿宋_GB2312" w:cs="仿宋_GB2312"/>
          <w:b/>
          <w:bCs/>
          <w:color w:val="000000"/>
          <w:sz w:val="32"/>
          <w:szCs w:val="32"/>
        </w:rPr>
        <w:t>、市市场监管局、市公安局、市司法局、市发改局、市财政局负责</w:t>
      </w:r>
      <w:r>
        <w:rPr>
          <w:rFonts w:hint="eastAsia" w:ascii="仿宋_GB2312" w:hAnsi="仿宋_GB2312" w:eastAsia="仿宋_GB2312" w:cs="仿宋_GB2312"/>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提高随访服务质量。卫生计生部门要按照常住地管理原则，组织疾病预防控制机构、医疗机构、基层医疗卫生机构和社会组织开展随访服务。要切实提高首次随访工作质量，强化对感染者和病人的心理支持、行为干预及检测、医学咨询和转介等工作，告知其合法权益、责任义务和相关政策法规，督促他们及时将感染情况告知与其有性关系者，并动员开展检测。结合定期随访工作，对感染者和病人的行为及健康状况进行科学评估，提供针对性的随访干预服务。做好流动感染者和病人随访服务，建立健全流出地、流入地疾病预防控制机构转介机制。公安、司法、卫生计生等部门要做好监管场所感染者和病人告知及医学咨询、心理支持、出入监管场所转介等随访服务。（</w:t>
      </w:r>
      <w:r>
        <w:rPr>
          <w:rFonts w:hint="eastAsia" w:ascii="仿宋_GB2312" w:hAnsi="仿宋_GB2312" w:eastAsia="仿宋_GB2312" w:cs="仿宋_GB2312"/>
          <w:b/>
          <w:bCs/>
          <w:color w:val="000000"/>
          <w:sz w:val="32"/>
          <w:szCs w:val="32"/>
        </w:rPr>
        <w:t>市卫计局、市公安局、市司法局负责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加强疫情监测研判。医疗卫生机构要严格依法及时报告艾滋病疫情。卫生计生部门要根据艾滋病疫情和危险因素情况，及时调整、优化监测点设置，加强数据收集，提高监测数据质量。市场监管部门要对出入境人员开展艾滋病监测，及时向卫生计生部门通报疫情。卫生计生部门要强化艾滋病疫情和耐药监测、信息分析和利用，及时向有关部门提供相关信息，为科学决策提供依据，做好疫情和政务信息公开，回应社会关切。（</w:t>
      </w:r>
      <w:r>
        <w:rPr>
          <w:rFonts w:hint="eastAsia" w:ascii="仿宋_GB2312" w:hAnsi="仿宋_GB2312" w:eastAsia="仿宋_GB2312" w:cs="仿宋_GB2312"/>
          <w:b/>
          <w:bCs/>
          <w:color w:val="000000"/>
          <w:sz w:val="32"/>
          <w:szCs w:val="32"/>
        </w:rPr>
        <w:t>市卫计局、市市场监管局负责</w:t>
      </w:r>
      <w:r>
        <w:rPr>
          <w:rFonts w:hint="eastAsia" w:ascii="仿宋_GB2312" w:hAnsi="仿宋_GB2312" w:eastAsia="仿宋_GB2312" w:cs="仿宋_GB2312"/>
          <w:color w:val="000000"/>
          <w:sz w:val="32"/>
          <w:szCs w:val="32"/>
        </w:rPr>
        <w:t>）</w:t>
      </w:r>
    </w:p>
    <w:p>
      <w:pPr>
        <w:pStyle w:val="4"/>
        <w:widowControl w:val="0"/>
        <w:numPr>
          <w:ilvl w:val="0"/>
          <w:numId w:val="3"/>
        </w:numPr>
        <w:adjustRightInd w:val="0"/>
        <w:snapToGrid w:val="0"/>
        <w:spacing w:before="0" w:beforeAutospacing="0" w:after="0" w:afterAutospacing="0" w:line="60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全面预防母婴传播工作，持续减少母婴传播</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仿宋_GB2312" w:hAnsi="仿宋_GB2312" w:eastAsia="仿宋_GB2312" w:cs="仿宋_GB2312"/>
          <w:color w:val="000000"/>
          <w:sz w:val="32"/>
          <w:szCs w:val="32"/>
        </w:rPr>
        <w:t>落实预防母婴传播工作。卫生计生部门要以妇幼健康服务网络为平台，将预防艾滋病、梅毒和乙肝母婴传播工作与妇幼健康服务工作有机结合。医疗卫生机构应当结合婚前保健、孕前保健、孕产期保健、儿童和青少年保健、性病防治等常规医疗保健服务开展预防艾滋病、梅毒和乙肝母婴传播的健康教育和咨询指导，引导新婚人群、孕产妇尽早接受相关检测，对感染艾滋病、梅毒和乙肝的孕产妇及所生儿童提供治疗、预防性用药、监测、随访、转介等系列干预服务。（</w:t>
      </w:r>
      <w:r>
        <w:rPr>
          <w:rFonts w:hint="eastAsia" w:ascii="仿宋_GB2312" w:hAnsi="仿宋_GB2312" w:eastAsia="仿宋_GB2312" w:cs="仿宋_GB2312"/>
          <w:b/>
          <w:bCs/>
          <w:color w:val="000000"/>
          <w:sz w:val="32"/>
          <w:szCs w:val="32"/>
        </w:rPr>
        <w:t>市卫计局负责</w:t>
      </w:r>
      <w:r>
        <w:rPr>
          <w:rFonts w:hint="eastAsia" w:ascii="仿宋_GB2312" w:hAnsi="仿宋_GB2312" w:eastAsia="仿宋_GB2312" w:cs="仿宋_GB2312"/>
          <w:color w:val="000000"/>
          <w:sz w:val="32"/>
          <w:szCs w:val="32"/>
        </w:rPr>
        <w:t>）</w:t>
      </w:r>
    </w:p>
    <w:p>
      <w:pPr>
        <w:pStyle w:val="4"/>
        <w:widowControl w:val="0"/>
        <w:numPr>
          <w:ilvl w:val="0"/>
          <w:numId w:val="3"/>
        </w:numPr>
        <w:adjustRightInd w:val="0"/>
        <w:snapToGrid w:val="0"/>
        <w:spacing w:before="0" w:beforeAutospacing="0" w:after="0" w:afterAutospacing="0" w:line="60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全面落实救治救助政策，挽救感染者和病人生命并提高生活质量</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FF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全力推进抗病毒治疗工作。卫生计生部门要对有意愿且无治疗禁忌症的感染者和病人实施抗病毒治疗。按照就近治疗原则，科学合理设置抗病毒治疗定点医疗机构，优化艾滋病检测、咨询、诊断、治疗等工作流程，提高感染者和病人治疗可及性和及时性。疫情严重地区要推广从诊断到治疗“一站式”服务。抗病毒治疗定点医疗机构要严格执行有关诊疗指南，进一步规范治疗管理，加强耐药检测和病情监测，及时更换药物和处理药物不良反应，提高治疗质量和效果。要加强感染者和病人中结核病等机会性感染疾病的筛查、诊断和治疗工作。传染病防治机构、公共卫生机构、承担感染者和病人综合医疗服务的定点医疗机构等要建立健全与抗病毒治疗定点医疗机构的转诊制度，保障感染者和病人得到及时、规范的抗病毒治疗。加强流动人口中感染者和病人治疗工作，探索建立异地治疗工作机制和保障机制。公安、司法、卫生计生等部门要密切配合，为监管场所内符合条件的感染者和病人提供规范化治疗。（</w:t>
      </w:r>
      <w:r>
        <w:rPr>
          <w:rFonts w:hint="eastAsia" w:ascii="仿宋_GB2312" w:hAnsi="仿宋_GB2312" w:eastAsia="仿宋_GB2312" w:cs="仿宋_GB2312"/>
          <w:b/>
          <w:bCs/>
          <w:color w:val="000000"/>
          <w:sz w:val="32"/>
          <w:szCs w:val="32"/>
        </w:rPr>
        <w:t>市卫计局、市公安局、市司法局负责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b/>
          <w:bCs/>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逐步扩大中医药治疗规模。中医药、卫生计生等部门要充分发挥中医药在防治艾滋病工作中的作用，健全中医药参与艾滋病防治诊疗工作机制，研究形成中西医综合治疗方案，扩大中医药治疗覆盖面。疫情严重地区和有较好工作基础地区要开展中西医综合治疗试点，逐步扩大试点规模。</w:t>
      </w:r>
      <w:r>
        <w:rPr>
          <w:rFonts w:hint="eastAsia" w:ascii="仿宋_GB2312" w:hAnsi="仿宋_GB2312" w:eastAsia="仿宋_GB2312" w:cs="仿宋_GB2312"/>
          <w:b/>
          <w:bCs/>
          <w:color w:val="000000"/>
          <w:sz w:val="32"/>
          <w:szCs w:val="32"/>
        </w:rPr>
        <w:t>（市卫计局负责）</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加强合法权益保障。要依法保障感染者和病人就医、就业、入学等合法权益。卫生计生部门要根据艾滋病疫情变化，适时调整承担综合医疗服务工作的定点医疗机构。医疗卫生机构要强化首诊（问）负责制，对诊疗服务中发现的感染者和病人，做好接诊、转诊和相关处置工作，不得以任何理由推诿或者拒绝诊治。民政、人力资源社会保障、卫生计生、财政等部门要认真落实社会保障政策，加强相关社会福利、社会保险、社会救助等政策衔接，确保感染者和病人基本医疗、基本养老、基本生活保障等权益。教育、卫生计生等部门要密切配合，保障受艾滋病影响儿童接受教育的合法权益。（</w:t>
      </w:r>
      <w:r>
        <w:rPr>
          <w:rFonts w:hint="eastAsia" w:ascii="仿宋_GB2312" w:hAnsi="仿宋_GB2312" w:eastAsia="仿宋_GB2312" w:cs="仿宋_GB2312"/>
          <w:b/>
          <w:bCs/>
          <w:color w:val="000000"/>
          <w:sz w:val="32"/>
          <w:szCs w:val="32"/>
        </w:rPr>
        <w:t>市卫计局、市民政局、市人社局、市财政局、市教育局负责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b/>
          <w:bCs/>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强化救助政策落实。要建立孤儿基本生活最低养育标准自然增长机制，为艾滋病致孤儿童和感染儿童及时、足额发放基本生活费，并加强规范管理和信息化建设，鼓励有条件地区为受艾滋病影响儿童提供必要保障。民政、卫生计生、红十字会等部门和单位要加强对生活困难感染者和病人生活救助，将政府救助与社会关爱相结合，加强对感染者和病人爱心帮扶、情感支持、临终关怀等工作。扶贫、卫生计生等部门要将艾滋病防治与扶贫开发相结合，按照精准扶贫要求，对艾滋病疫情严重的贫困地区加大扶贫开发力度，支持符合扶贫条件、有劳动能力的感染者和病人开展力所能及的生产活动，共享经济和社会发展成果。公安、司法、卫生计生、民政等部门要做好违法犯罪感染者和病人回归社会后的治疗、救助等衔接工作。</w:t>
      </w:r>
      <w:r>
        <w:rPr>
          <w:rFonts w:hint="eastAsia" w:ascii="仿宋_GB2312" w:hAnsi="仿宋_GB2312" w:eastAsia="仿宋_GB2312" w:cs="仿宋_GB2312"/>
          <w:b/>
          <w:bCs/>
          <w:color w:val="000000"/>
          <w:sz w:val="32"/>
          <w:szCs w:val="32"/>
        </w:rPr>
        <w:t>（市民政局、市卫计局、市红十字会、市扶贫办、市公安局、市司法局负责）</w:t>
      </w:r>
    </w:p>
    <w:p>
      <w:pPr>
        <w:pStyle w:val="4"/>
        <w:widowControl w:val="0"/>
        <w:adjustRightInd w:val="0"/>
        <w:snapToGrid w:val="0"/>
        <w:spacing w:before="0" w:beforeAutospacing="0" w:after="0" w:afterAutospacing="0" w:line="600" w:lineRule="exact"/>
        <w:ind w:firstLine="640" w:firstLineChars="200"/>
        <w:jc w:val="both"/>
        <w:rPr>
          <w:rFonts w:ascii="楷体_GB2312" w:hAnsi="楷体_GB2312" w:eastAsia="楷体_GB2312" w:cs="Tahoma"/>
          <w:color w:val="000000"/>
          <w:sz w:val="32"/>
          <w:szCs w:val="32"/>
        </w:rPr>
      </w:pPr>
      <w:r>
        <w:rPr>
          <w:rFonts w:hint="eastAsia" w:ascii="楷体_GB2312" w:hAnsi="楷体_GB2312" w:eastAsia="楷体_GB2312" w:cs="楷体_GB2312"/>
          <w:color w:val="000000"/>
          <w:sz w:val="32"/>
          <w:szCs w:val="32"/>
        </w:rPr>
        <w:t>（六）全面落实培育引导措施，激发社会组织参与活力</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发挥社会组织独特优势。要按照创新社会治理体制总体要求，发挥社会组织易于接触特殊人群、工作方式灵活等优势，将社会力量参与艾滋病防治工作纳入整体防治工作计划。卫生计生、财政、民政等部门要鼓励、支持社会组织在易感染艾滋病危险行为人群干预、感染者和病人随访服务、关怀救助等领域开展工作。医疗卫生机构要与社会组织密切合作，加强技术指导，建立信息沟通、业务考核等工作制度，实现防治工作有效衔接。社会组织应当在医疗卫生机构指导下，在易感染艾滋病危险行为人群中开展健康教育、安全套推广、艾滋病咨询和动员检测、艾滋病性病诊疗和戒毒药物维持治疗转介等服务，在感染者和病人中开展心理支持、安全性行为教育和治疗依从性教育等服务，动员感染者和病人的配偶或与其有性关系者主动检测。（</w:t>
      </w:r>
      <w:r>
        <w:rPr>
          <w:rFonts w:hint="eastAsia" w:ascii="仿宋_GB2312" w:hAnsi="仿宋_GB2312" w:eastAsia="仿宋_GB2312" w:cs="仿宋_GB2312"/>
          <w:b/>
          <w:bCs/>
          <w:color w:val="000000"/>
          <w:sz w:val="32"/>
          <w:szCs w:val="32"/>
        </w:rPr>
        <w:t>市卫计局、市财政局、市民政局负责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发挥社会组织参与艾滋病防治基金引导作用。卫生计生、财政、民政等部门要通过多渠道筹资，扩大社会组织参与艾滋病防治基金规模并完善管理。依据公平、公开、公正原则，通过择优竞争方式，支持具备条件、信誉良好的社会组织开展工作，发挥社会组织孵化基地的作用，培育并支持社区社会组织参与艾滋病防治工作。加强基金项目管理，建立监督评价机制，确保资金安全，提高项目成效。要组织、动员和支持社会组织申请基金项目，合理设置社会组织孵化基地，加强培训和扶持，促进符合条件的社会组织登记，强化对社会组织的监督与管理，逐步提高社会组织参与艾滋病防治的工作能力。要引导社会组织不断加强自身能力建设，积极申请地方政府的购买艾滋病防治服务项目，并做好项目实施。（</w:t>
      </w:r>
      <w:r>
        <w:rPr>
          <w:rFonts w:hint="eastAsia" w:ascii="仿宋_GB2312" w:hAnsi="仿宋_GB2312" w:eastAsia="仿宋_GB2312" w:cs="仿宋_GB2312"/>
          <w:b/>
          <w:bCs/>
          <w:color w:val="000000"/>
          <w:sz w:val="32"/>
          <w:szCs w:val="32"/>
        </w:rPr>
        <w:t>市卫计局、市财政局、市民政局负责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动员社会力量广泛参与。发挥工会、共青团、妇联、红十字会等单位在艾滋病防治工作中的作用。制定并实施优惠政策，动员和支持企业、基金会、有关组织和志愿者开展与艾滋病防治相关的社会宣传、捐款捐物、扶贫救助等公益活动。（</w:t>
      </w:r>
      <w:r>
        <w:rPr>
          <w:rFonts w:hint="eastAsia" w:ascii="仿宋_GB2312" w:hAnsi="仿宋_GB2312" w:eastAsia="仿宋_GB2312" w:cs="仿宋_GB2312"/>
          <w:b/>
          <w:bCs/>
          <w:color w:val="000000"/>
          <w:sz w:val="32"/>
          <w:szCs w:val="32"/>
        </w:rPr>
        <w:t>市总工会、团市委、市妇联、市红十字会负责</w:t>
      </w:r>
      <w:r>
        <w:rPr>
          <w:rFonts w:hint="eastAsia" w:ascii="仿宋_GB2312" w:hAnsi="仿宋_GB2312" w:eastAsia="仿宋_GB2312" w:cs="仿宋_GB2312"/>
          <w:color w:val="000000"/>
          <w:sz w:val="32"/>
          <w:szCs w:val="32"/>
        </w:rPr>
        <w:t>）</w:t>
      </w:r>
    </w:p>
    <w:p>
      <w:pPr>
        <w:pStyle w:val="4"/>
        <w:widowControl w:val="0"/>
        <w:adjustRightInd w:val="0"/>
        <w:snapToGrid w:val="0"/>
        <w:spacing w:before="0" w:beforeAutospacing="0" w:after="0" w:afterAutospacing="0" w:line="600" w:lineRule="exact"/>
        <w:ind w:firstLine="640" w:firstLineChars="200"/>
        <w:jc w:val="both"/>
        <w:rPr>
          <w:rFonts w:ascii="黑体" w:hAnsi="黑体" w:eastAsia="黑体" w:cs="Tahoma"/>
          <w:color w:val="000000"/>
          <w:sz w:val="32"/>
          <w:szCs w:val="32"/>
        </w:rPr>
      </w:pPr>
      <w:r>
        <w:rPr>
          <w:rFonts w:hint="eastAsia" w:ascii="黑体" w:hAnsi="黑体" w:eastAsia="黑体" w:cs="黑体"/>
          <w:color w:val="000000"/>
          <w:sz w:val="32"/>
          <w:szCs w:val="32"/>
        </w:rPr>
        <w:t>四、保障措施</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楷体_GB2312" w:hAnsi="楷体_GB2312" w:eastAsia="楷体_GB2312" w:cs="楷体_GB2312"/>
          <w:color w:val="000000"/>
          <w:sz w:val="32"/>
          <w:szCs w:val="32"/>
        </w:rPr>
        <w:t>（一）强化组织领导，落实防治责任。</w:t>
      </w:r>
      <w:r>
        <w:rPr>
          <w:rFonts w:hint="eastAsia" w:ascii="仿宋_GB2312" w:hAnsi="仿宋_GB2312" w:eastAsia="仿宋_GB2312" w:cs="仿宋_GB2312"/>
          <w:color w:val="000000"/>
          <w:sz w:val="32"/>
          <w:szCs w:val="32"/>
        </w:rPr>
        <w:t>各部门要对本行政区域内的艾滋病综合防治工作负总责，进一步加强组织领导，将防治工作纳入政府工作重要议事日程和考核内容，制定符合本部门疫情特点和工作实际的防治规划，定期分析和研判艾滋病流行形势，落实管理责任制，明确部门职责、工作目标和工作任务。要充分发挥防治艾滋病工作委员会协调机制作用，加强对防治工作的统筹协调，形成防治合力。要认真开展艾滋病综合防治示范区建设工作，探索适合我市不同流行水平、不同传播特点的工作模式，着力解决重点难点问题，增强防治效果。各有关部门要落实防治职责，将艾滋病防治纳入本部门日常工作，制定年度工作计划，建立考核制度。</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楷体_GB2312" w:hAnsi="楷体_GB2312" w:eastAsia="楷体_GB2312" w:cs="楷体_GB2312"/>
          <w:color w:val="000000"/>
          <w:sz w:val="32"/>
          <w:szCs w:val="32"/>
        </w:rPr>
        <w:t>（二）加强队伍建设，提高防治能力。</w:t>
      </w:r>
      <w:r>
        <w:rPr>
          <w:rFonts w:hint="eastAsia" w:ascii="仿宋_GB2312" w:hAnsi="仿宋_GB2312" w:eastAsia="仿宋_GB2312" w:cs="仿宋_GB2312"/>
          <w:color w:val="000000"/>
          <w:sz w:val="32"/>
          <w:szCs w:val="32"/>
        </w:rPr>
        <w:t>各部门要根据艾滋病防治需要，进一步优化医院、基层医疗卫生、疾病预防控制、妇幼保健、采供血等机构的职责分工和衔接机制，提高整体防治水平。加强艾滋病防治专业队伍建设，提高疾病预防控制机构的疫情分析研判和防治效果评价能力，配齐配强专业人员，加强培训，提高防治能力。要完善承担艾滋病防治任务定点医院补偿机制，按照国家有关规定，落实艾滋病防治人员卫生防疫津贴、医疗卫生津贴等特殊岗位津贴补贴，在绩效工资分配上适当进行倾斜，为防治队伍正常履职尽责提供保障。</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楷体_GB2312" w:hAnsi="楷体_GB2312" w:eastAsia="楷体_GB2312" w:cs="楷体_GB2312"/>
          <w:color w:val="000000"/>
          <w:sz w:val="32"/>
          <w:szCs w:val="32"/>
        </w:rPr>
        <w:t>（三）加大投入力度，保障防治经费和药品供应。</w:t>
      </w:r>
      <w:r>
        <w:rPr>
          <w:rFonts w:hint="eastAsia" w:ascii="仿宋_GB2312" w:hAnsi="仿宋_GB2312" w:eastAsia="仿宋_GB2312" w:cs="仿宋_GB2312"/>
          <w:color w:val="000000"/>
          <w:sz w:val="32"/>
          <w:szCs w:val="32"/>
        </w:rPr>
        <w:t>政府要根据卫生投入政策，合理安排艾滋病防治经费，逐步加大投入力度，提高资金使用效益。要探索通过政府购买服务等方式支持开展艾滋病防治工作。卫生计生、财政、发展和改革等部门要对疫情严重地区的艾滋病防治工作给予重点支持，对中医药治疗艾滋病工作给予扶持。</w:t>
      </w:r>
    </w:p>
    <w:p>
      <w:pPr>
        <w:pStyle w:val="4"/>
        <w:widowControl w:val="0"/>
        <w:adjustRightInd w:val="0"/>
        <w:snapToGrid w:val="0"/>
        <w:spacing w:before="0" w:beforeAutospacing="0" w:after="0" w:afterAutospacing="0" w:line="600" w:lineRule="exact"/>
        <w:ind w:firstLine="640" w:firstLineChars="200"/>
        <w:jc w:val="both"/>
        <w:rPr>
          <w:rFonts w:ascii="黑体" w:hAnsi="黑体" w:eastAsia="黑体" w:cs="Tahoma"/>
          <w:color w:val="000000"/>
          <w:sz w:val="32"/>
          <w:szCs w:val="32"/>
        </w:rPr>
      </w:pPr>
      <w:r>
        <w:rPr>
          <w:rFonts w:hint="eastAsia" w:ascii="黑体" w:hAnsi="黑体" w:eastAsia="黑体" w:cs="黑体"/>
          <w:color w:val="000000"/>
          <w:sz w:val="32"/>
          <w:szCs w:val="32"/>
        </w:rPr>
        <w:t>五、督导与评估</w:t>
      </w:r>
    </w:p>
    <w:p>
      <w:pPr>
        <w:pStyle w:val="4"/>
        <w:widowControl w:val="0"/>
        <w:adjustRightInd w:val="0"/>
        <w:snapToGrid w:val="0"/>
        <w:spacing w:before="0" w:beforeAutospacing="0" w:after="0" w:afterAutospacing="0" w:line="600" w:lineRule="exact"/>
        <w:ind w:firstLine="640" w:firstLineChars="200"/>
        <w:jc w:val="both"/>
        <w:rPr>
          <w:rFonts w:ascii="仿宋_GB2312" w:hAnsi="仿宋_GB2312" w:eastAsia="仿宋_GB2312" w:cs="Tahoma"/>
          <w:color w:val="000000"/>
          <w:sz w:val="32"/>
          <w:szCs w:val="32"/>
        </w:rPr>
      </w:pPr>
      <w:r>
        <w:rPr>
          <w:rFonts w:hint="eastAsia" w:ascii="仿宋_GB2312" w:hAnsi="仿宋_GB2312" w:eastAsia="仿宋_GB2312" w:cs="仿宋_GB2312"/>
          <w:color w:val="000000"/>
          <w:sz w:val="32"/>
          <w:szCs w:val="32"/>
        </w:rPr>
        <w:t>滕州市防治艾滋病工作委员会办公室要制订本行动计划督导与评估方案，组织相关部门开展督导检查，在“十三五”末组织或委托第三方开展评估工作。各有关部门要对本行动计划实施进展、质量和成效进行督导与评估，将重点任务落实情况作为督查督办的重要事项，确保本行动计划各项任务得到贯彻落实。</w:t>
      </w: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pStyle w:val="4"/>
        <w:widowControl w:val="0"/>
        <w:spacing w:beforeAutospacing="0" w:afterAutospacing="0" w:line="600" w:lineRule="exact"/>
        <w:ind w:firstLine="640" w:firstLineChars="200"/>
        <w:jc w:val="both"/>
        <w:rPr>
          <w:rFonts w:ascii="仿宋_GB2312" w:hAnsi="仿宋_GB2312" w:eastAsia="仿宋_GB2312" w:cs="Tahoma"/>
          <w:color w:val="000000"/>
          <w:sz w:val="32"/>
          <w:szCs w:val="32"/>
        </w:rPr>
      </w:pPr>
    </w:p>
    <w:p>
      <w:pPr>
        <w:adjustRightInd/>
        <w:snapToGrid/>
        <w:spacing w:line="600" w:lineRule="exact"/>
        <w:ind w:firstLine="644"/>
        <w:rPr>
          <w:rFonts w:ascii="仿宋_GB2312" w:hAnsi="仿宋_GB2312" w:eastAsia="仿宋_GB2312"/>
          <w:sz w:val="32"/>
          <w:szCs w:val="32"/>
        </w:rPr>
      </w:pPr>
    </w:p>
    <w:p>
      <w:pPr>
        <w:adjustRightInd/>
        <w:snapToGrid/>
        <w:spacing w:line="600" w:lineRule="exact"/>
        <w:ind w:firstLine="644"/>
        <w:rPr>
          <w:rFonts w:ascii="仿宋_GB2312" w:hAnsi="仿宋_GB2312" w:eastAsia="仿宋_GB2312"/>
          <w:sz w:val="32"/>
          <w:szCs w:val="32"/>
        </w:rPr>
      </w:pPr>
    </w:p>
    <w:p>
      <w:pPr>
        <w:adjustRightInd/>
        <w:snapToGrid/>
        <w:spacing w:line="600" w:lineRule="exact"/>
        <w:ind w:firstLine="644"/>
        <w:rPr>
          <w:rFonts w:ascii="仿宋_GB2312" w:hAnsi="仿宋_GB2312" w:eastAsia="仿宋_GB2312"/>
          <w:sz w:val="32"/>
          <w:szCs w:val="32"/>
        </w:rPr>
      </w:pPr>
    </w:p>
    <w:p>
      <w:pPr>
        <w:spacing w:after="0" w:line="200" w:lineRule="exact"/>
        <w:jc w:val="both"/>
        <w:rPr>
          <w:rFonts w:ascii="黑体" w:eastAsia="黑体"/>
          <w:sz w:val="28"/>
          <w:szCs w:val="28"/>
        </w:rPr>
      </w:pPr>
    </w:p>
    <w:p>
      <w:pPr>
        <w:spacing w:after="0" w:line="200" w:lineRule="exact"/>
        <w:jc w:val="both"/>
        <w:rPr>
          <w:rFonts w:ascii="黑体" w:eastAsia="黑体"/>
          <w:sz w:val="28"/>
          <w:szCs w:val="28"/>
        </w:rPr>
      </w:pPr>
    </w:p>
    <w:p>
      <w:pPr>
        <w:spacing w:after="0" w:line="200" w:lineRule="exact"/>
        <w:jc w:val="both"/>
        <w:rPr>
          <w:rFonts w:ascii="黑体" w:eastAsia="黑体"/>
          <w:sz w:val="28"/>
          <w:szCs w:val="28"/>
        </w:rPr>
      </w:pPr>
    </w:p>
    <w:p>
      <w:pPr>
        <w:spacing w:after="0" w:line="200" w:lineRule="exact"/>
        <w:jc w:val="both"/>
        <w:rPr>
          <w:rFonts w:ascii="黑体" w:eastAsia="黑体"/>
          <w:sz w:val="28"/>
          <w:szCs w:val="28"/>
        </w:rPr>
      </w:pPr>
      <w:r>
        <w:pict>
          <v:line id="_x0000_s1026" o:spid="_x0000_s1026" o:spt="20" style="position:absolute;left:0pt;margin-top:5.8pt;height:2pt;width:425.2pt;mso-position-horizontal:center;z-index:1024;mso-width-relative:page;mso-height-relative:page;" coordsize="21600,21600">
            <v:path arrowok="t"/>
            <v:fill focussize="0,0"/>
            <v:stroke weight="1.5pt"/>
            <v:imagedata o:title=""/>
            <o:lock v:ext="edit"/>
          </v:line>
        </w:pict>
      </w:r>
    </w:p>
    <w:p>
      <w:pPr>
        <w:spacing w:after="0" w:line="340" w:lineRule="exact"/>
        <w:jc w:val="both"/>
        <w:rPr>
          <w:rFonts w:ascii="仿宋_GB2312" w:hAnsi="Times New Roman" w:eastAsia="仿宋_GB2312"/>
          <w:kern w:val="2"/>
          <w:sz w:val="28"/>
          <w:szCs w:val="28"/>
        </w:rPr>
      </w:pPr>
      <w:r>
        <w:rPr>
          <w:rFonts w:hint="eastAsia" w:ascii="仿宋_GB2312" w:hAnsi="Times New Roman" w:eastAsia="仿宋_GB2312" w:cs="仿宋_GB2312"/>
          <w:b/>
          <w:bCs/>
          <w:kern w:val="2"/>
          <w:sz w:val="28"/>
          <w:szCs w:val="28"/>
        </w:rPr>
        <w:t>抄</w:t>
      </w:r>
      <w:r>
        <w:rPr>
          <w:rFonts w:ascii="仿宋_GB2312" w:hAnsi="Times New Roman" w:eastAsia="仿宋_GB2312" w:cs="仿宋_GB2312"/>
          <w:b/>
          <w:bCs/>
          <w:kern w:val="2"/>
          <w:sz w:val="28"/>
          <w:szCs w:val="28"/>
        </w:rPr>
        <w:t xml:space="preserve">  </w:t>
      </w:r>
      <w:r>
        <w:rPr>
          <w:rFonts w:hint="eastAsia" w:ascii="仿宋_GB2312" w:hAnsi="Times New Roman" w:eastAsia="仿宋_GB2312" w:cs="仿宋_GB2312"/>
          <w:b/>
          <w:bCs/>
          <w:kern w:val="2"/>
          <w:sz w:val="28"/>
          <w:szCs w:val="28"/>
        </w:rPr>
        <w:t>送：</w:t>
      </w:r>
      <w:r>
        <w:rPr>
          <w:rFonts w:hint="eastAsia" w:ascii="仿宋_GB2312" w:hAnsi="Times New Roman" w:eastAsia="仿宋_GB2312" w:cs="仿宋_GB2312"/>
          <w:kern w:val="2"/>
          <w:sz w:val="28"/>
          <w:szCs w:val="28"/>
        </w:rPr>
        <w:t>市委办公室，市人大常委会办公室，市政协办公室，市纪委</w:t>
      </w:r>
    </w:p>
    <w:p>
      <w:pPr>
        <w:spacing w:after="0" w:line="340" w:lineRule="exact"/>
        <w:ind w:firstLine="1120" w:firstLineChars="400"/>
        <w:jc w:val="both"/>
        <w:rPr>
          <w:rFonts w:ascii="仿宋_GB2312" w:eastAsia="仿宋_GB2312"/>
          <w:sz w:val="28"/>
          <w:szCs w:val="28"/>
        </w:rPr>
      </w:pPr>
      <w:r>
        <w:rPr>
          <w:rFonts w:hint="eastAsia" w:ascii="仿宋_GB2312" w:hAnsi="Times New Roman" w:eastAsia="仿宋_GB2312" w:cs="仿宋_GB2312"/>
          <w:kern w:val="2"/>
          <w:sz w:val="28"/>
          <w:szCs w:val="28"/>
        </w:rPr>
        <w:t>办公室，市法院，市检察院，市人武部。</w:t>
      </w:r>
    </w:p>
    <w:p>
      <w:pPr>
        <w:spacing w:after="0" w:line="240" w:lineRule="exact"/>
        <w:ind w:right="31" w:rightChars="14" w:firstLine="560"/>
        <w:jc w:val="both"/>
        <w:rPr>
          <w:rFonts w:ascii="仿宋_GB2312" w:eastAsia="仿宋_GB2312"/>
          <w:sz w:val="28"/>
          <w:szCs w:val="28"/>
        </w:rPr>
      </w:pPr>
      <w:r>
        <w:pict>
          <v:line id="_x0000_s1027" o:spid="_x0000_s1027" o:spt="20" style="position:absolute;left:0pt;margin-top:3.4pt;height:0pt;width:425.2pt;mso-position-horizontal:center;z-index:1024;mso-width-relative:page;mso-height-relative:page;" coordsize="21600,21600">
            <v:path arrowok="t"/>
            <v:fill focussize="0,0"/>
            <v:stroke/>
            <v:imagedata o:title=""/>
            <o:lock v:ext="edit"/>
          </v:line>
        </w:pict>
      </w:r>
    </w:p>
    <w:p>
      <w:pPr>
        <w:spacing w:after="0" w:line="340" w:lineRule="exact"/>
        <w:jc w:val="both"/>
        <w:rPr>
          <w:rFonts w:ascii="黑体" w:eastAsia="黑体"/>
          <w:sz w:val="28"/>
          <w:szCs w:val="28"/>
        </w:rPr>
      </w:pPr>
      <w:r>
        <w:pict>
          <v:line id="_x0000_s1028" o:spid="_x0000_s1028" o:spt="20" style="position:absolute;left:0pt;margin-top:22.2pt;height:0.6pt;width:430.85pt;mso-position-horizontal:center;z-index:1024;mso-width-relative:page;mso-height-relative:page;" coordsize="21600,21600">
            <v:path arrowok="t"/>
            <v:fill focussize="0,0"/>
            <v:stroke weight="1.5pt"/>
            <v:imagedata o:title=""/>
            <o:lock v:ext="edit"/>
          </v:line>
        </w:pict>
      </w:r>
      <w:r>
        <w:rPr>
          <w:rFonts w:hint="eastAsia" w:ascii="仿宋_GB2312" w:hAnsi="华文中宋" w:eastAsia="仿宋_GB2312" w:cs="仿宋_GB2312"/>
          <w:kern w:val="2"/>
          <w:sz w:val="28"/>
          <w:szCs w:val="28"/>
        </w:rPr>
        <w:t>滕州市人民政府办公室</w:t>
      </w:r>
      <w:r>
        <w:rPr>
          <w:rFonts w:ascii="仿宋_GB2312" w:hAnsi="华文中宋" w:eastAsia="仿宋_GB2312" w:cs="仿宋_GB2312"/>
          <w:kern w:val="2"/>
          <w:sz w:val="28"/>
          <w:szCs w:val="28"/>
        </w:rPr>
        <w:t xml:space="preserve">                    2018</w:t>
      </w:r>
      <w:r>
        <w:rPr>
          <w:rFonts w:hint="eastAsia" w:ascii="仿宋_GB2312" w:hAnsi="华文中宋" w:eastAsia="仿宋_GB2312" w:cs="仿宋_GB2312"/>
          <w:kern w:val="2"/>
          <w:sz w:val="28"/>
          <w:szCs w:val="28"/>
        </w:rPr>
        <w:t>年</w:t>
      </w:r>
      <w:r>
        <w:rPr>
          <w:rFonts w:ascii="仿宋_GB2312" w:hAnsi="华文中宋" w:eastAsia="仿宋_GB2312" w:cs="仿宋_GB2312"/>
          <w:kern w:val="2"/>
          <w:sz w:val="28"/>
          <w:szCs w:val="28"/>
        </w:rPr>
        <w:t>7</w:t>
      </w:r>
      <w:r>
        <w:rPr>
          <w:rFonts w:hint="eastAsia" w:ascii="仿宋_GB2312" w:hAnsi="华文中宋" w:eastAsia="仿宋_GB2312" w:cs="仿宋_GB2312"/>
          <w:kern w:val="2"/>
          <w:sz w:val="28"/>
          <w:szCs w:val="28"/>
        </w:rPr>
        <w:t>月</w:t>
      </w:r>
      <w:r>
        <w:rPr>
          <w:rFonts w:ascii="仿宋_GB2312" w:hAnsi="华文中宋" w:eastAsia="仿宋_GB2312" w:cs="仿宋_GB2312"/>
          <w:kern w:val="2"/>
          <w:sz w:val="28"/>
          <w:szCs w:val="28"/>
        </w:rPr>
        <w:t>23</w:t>
      </w:r>
      <w:r>
        <w:rPr>
          <w:rFonts w:hint="eastAsia" w:ascii="仿宋_GB2312" w:hAnsi="华文中宋" w:eastAsia="仿宋_GB2312" w:cs="仿宋_GB2312"/>
          <w:kern w:val="2"/>
          <w:sz w:val="28"/>
          <w:szCs w:val="28"/>
        </w:rPr>
        <w:t>日印发</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4"/>
        <w:szCs w:val="24"/>
      </w:rPr>
    </w:pPr>
    <w:r>
      <w:rPr>
        <w:rStyle w:val="6"/>
        <w:rFonts w:ascii="宋体" w:hAnsi="宋体" w:eastAsia="宋体" w:cs="宋体"/>
        <w:sz w:val="24"/>
        <w:szCs w:val="24"/>
      </w:rPr>
      <w:fldChar w:fldCharType="begin"/>
    </w:r>
    <w:r>
      <w:rPr>
        <w:rStyle w:val="6"/>
        <w:rFonts w:ascii="宋体" w:hAnsi="宋体" w:eastAsia="宋体" w:cs="宋体"/>
        <w:sz w:val="24"/>
        <w:szCs w:val="24"/>
      </w:rPr>
      <w:instrText xml:space="preserve">PAGE  </w:instrText>
    </w:r>
    <w:r>
      <w:rPr>
        <w:rStyle w:val="6"/>
        <w:rFonts w:ascii="宋体" w:hAnsi="宋体" w:eastAsia="宋体" w:cs="宋体"/>
        <w:sz w:val="24"/>
        <w:szCs w:val="24"/>
      </w:rPr>
      <w:fldChar w:fldCharType="separate"/>
    </w:r>
    <w:r>
      <w:rPr>
        <w:rStyle w:val="6"/>
        <w:rFonts w:ascii="宋体" w:hAnsi="宋体" w:eastAsia="宋体" w:cs="宋体"/>
        <w:sz w:val="24"/>
        <w:szCs w:val="24"/>
      </w:rPr>
      <w:t>16</w:t>
    </w:r>
    <w:r>
      <w:rPr>
        <w:rStyle w:val="6"/>
        <w:rFonts w:ascii="宋体" w:hAnsi="宋体" w:eastAsia="宋体" w:cs="宋体"/>
        <w:sz w:val="24"/>
        <w:szCs w:val="2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71DF2"/>
    <w:multiLevelType w:val="singleLevel"/>
    <w:tmpl w:val="A8571DF2"/>
    <w:lvl w:ilvl="0" w:tentative="0">
      <w:start w:val="1"/>
      <w:numFmt w:val="chineseCounting"/>
      <w:suff w:val="nothing"/>
      <w:lvlText w:val="（%1）"/>
      <w:lvlJc w:val="left"/>
      <w:rPr>
        <w:rFonts w:hint="eastAsia"/>
      </w:rPr>
    </w:lvl>
  </w:abstractNum>
  <w:abstractNum w:abstractNumId="1">
    <w:nsid w:val="1F47FD3E"/>
    <w:multiLevelType w:val="singleLevel"/>
    <w:tmpl w:val="1F47FD3E"/>
    <w:lvl w:ilvl="0" w:tentative="0">
      <w:start w:val="2"/>
      <w:numFmt w:val="chineseCounting"/>
      <w:suff w:val="nothing"/>
      <w:lvlText w:val="%1、"/>
      <w:lvlJc w:val="left"/>
      <w:rPr>
        <w:rFonts w:hint="eastAsia"/>
      </w:rPr>
    </w:lvl>
  </w:abstractNum>
  <w:abstractNum w:abstractNumId="2">
    <w:nsid w:val="72AFB58A"/>
    <w:multiLevelType w:val="singleLevel"/>
    <w:tmpl w:val="72AFB58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176EAC"/>
    <w:rsid w:val="00202C57"/>
    <w:rsid w:val="0027387B"/>
    <w:rsid w:val="002B04DF"/>
    <w:rsid w:val="002B06E9"/>
    <w:rsid w:val="00300A09"/>
    <w:rsid w:val="00323B43"/>
    <w:rsid w:val="003600ED"/>
    <w:rsid w:val="003D37D8"/>
    <w:rsid w:val="00426133"/>
    <w:rsid w:val="004358AB"/>
    <w:rsid w:val="004E449A"/>
    <w:rsid w:val="004E5B06"/>
    <w:rsid w:val="00515FC0"/>
    <w:rsid w:val="00585538"/>
    <w:rsid w:val="0060315E"/>
    <w:rsid w:val="00604AF9"/>
    <w:rsid w:val="006848F9"/>
    <w:rsid w:val="006A52C0"/>
    <w:rsid w:val="006B1692"/>
    <w:rsid w:val="006B7772"/>
    <w:rsid w:val="007B7C41"/>
    <w:rsid w:val="007F24F1"/>
    <w:rsid w:val="008178AB"/>
    <w:rsid w:val="00857E45"/>
    <w:rsid w:val="008B7726"/>
    <w:rsid w:val="008E4267"/>
    <w:rsid w:val="008F0F96"/>
    <w:rsid w:val="0090293C"/>
    <w:rsid w:val="00930A25"/>
    <w:rsid w:val="009315E2"/>
    <w:rsid w:val="00944856"/>
    <w:rsid w:val="009E3D7F"/>
    <w:rsid w:val="00A371DC"/>
    <w:rsid w:val="00AA4D67"/>
    <w:rsid w:val="00AC6E43"/>
    <w:rsid w:val="00B067FC"/>
    <w:rsid w:val="00B51D47"/>
    <w:rsid w:val="00B542F1"/>
    <w:rsid w:val="00BB0643"/>
    <w:rsid w:val="00C17CF6"/>
    <w:rsid w:val="00D140B0"/>
    <w:rsid w:val="00D31D50"/>
    <w:rsid w:val="00D55098"/>
    <w:rsid w:val="00E41F19"/>
    <w:rsid w:val="00E95A37"/>
    <w:rsid w:val="00F02670"/>
    <w:rsid w:val="010E38BD"/>
    <w:rsid w:val="020838CB"/>
    <w:rsid w:val="02DA20BA"/>
    <w:rsid w:val="03065BCC"/>
    <w:rsid w:val="03103298"/>
    <w:rsid w:val="03995B8F"/>
    <w:rsid w:val="039E14BE"/>
    <w:rsid w:val="03EA47F5"/>
    <w:rsid w:val="05194831"/>
    <w:rsid w:val="051A212B"/>
    <w:rsid w:val="0577697C"/>
    <w:rsid w:val="0588530C"/>
    <w:rsid w:val="06186638"/>
    <w:rsid w:val="08590A6B"/>
    <w:rsid w:val="08A07E9D"/>
    <w:rsid w:val="090225C2"/>
    <w:rsid w:val="09445D8F"/>
    <w:rsid w:val="094B57DF"/>
    <w:rsid w:val="095822A5"/>
    <w:rsid w:val="095F332F"/>
    <w:rsid w:val="0963026B"/>
    <w:rsid w:val="09A17C5D"/>
    <w:rsid w:val="09C44A9D"/>
    <w:rsid w:val="09D91DE0"/>
    <w:rsid w:val="0A35234E"/>
    <w:rsid w:val="0A80501C"/>
    <w:rsid w:val="0B482C03"/>
    <w:rsid w:val="0C01123E"/>
    <w:rsid w:val="0C2B7CFC"/>
    <w:rsid w:val="0C9231FD"/>
    <w:rsid w:val="0CB50E7E"/>
    <w:rsid w:val="0CC55389"/>
    <w:rsid w:val="0CF62028"/>
    <w:rsid w:val="0CF76D7C"/>
    <w:rsid w:val="0DFB029C"/>
    <w:rsid w:val="0E273FBD"/>
    <w:rsid w:val="0E3D4D1C"/>
    <w:rsid w:val="0F484ED4"/>
    <w:rsid w:val="0FB84A29"/>
    <w:rsid w:val="10343408"/>
    <w:rsid w:val="10495483"/>
    <w:rsid w:val="10A13537"/>
    <w:rsid w:val="10B52923"/>
    <w:rsid w:val="11155FCE"/>
    <w:rsid w:val="11441647"/>
    <w:rsid w:val="1153635B"/>
    <w:rsid w:val="116E7263"/>
    <w:rsid w:val="11AB18A6"/>
    <w:rsid w:val="11F506EC"/>
    <w:rsid w:val="12E13A37"/>
    <w:rsid w:val="130170FC"/>
    <w:rsid w:val="13AA0181"/>
    <w:rsid w:val="13C64AAD"/>
    <w:rsid w:val="14026260"/>
    <w:rsid w:val="140B7815"/>
    <w:rsid w:val="141C7C3C"/>
    <w:rsid w:val="14723A36"/>
    <w:rsid w:val="147A5C3C"/>
    <w:rsid w:val="14BC2AB6"/>
    <w:rsid w:val="1541042A"/>
    <w:rsid w:val="157B75D1"/>
    <w:rsid w:val="160F1541"/>
    <w:rsid w:val="163D4580"/>
    <w:rsid w:val="16573BF9"/>
    <w:rsid w:val="16AB4F96"/>
    <w:rsid w:val="16DB4754"/>
    <w:rsid w:val="17067644"/>
    <w:rsid w:val="177505BB"/>
    <w:rsid w:val="17CC0499"/>
    <w:rsid w:val="18811225"/>
    <w:rsid w:val="19E8150F"/>
    <w:rsid w:val="1A266BDD"/>
    <w:rsid w:val="1BC2316E"/>
    <w:rsid w:val="1BE2640E"/>
    <w:rsid w:val="1C500AC4"/>
    <w:rsid w:val="1C636E72"/>
    <w:rsid w:val="1C784FEF"/>
    <w:rsid w:val="1CCA790E"/>
    <w:rsid w:val="1D6F4098"/>
    <w:rsid w:val="1EA41F3D"/>
    <w:rsid w:val="1FF40069"/>
    <w:rsid w:val="201305E5"/>
    <w:rsid w:val="2046157F"/>
    <w:rsid w:val="205D672B"/>
    <w:rsid w:val="213F2A45"/>
    <w:rsid w:val="2175284F"/>
    <w:rsid w:val="21DD3E99"/>
    <w:rsid w:val="21E623B2"/>
    <w:rsid w:val="22877696"/>
    <w:rsid w:val="237C6537"/>
    <w:rsid w:val="239F15EA"/>
    <w:rsid w:val="23AD61B6"/>
    <w:rsid w:val="23C71884"/>
    <w:rsid w:val="23FA2242"/>
    <w:rsid w:val="2498140E"/>
    <w:rsid w:val="24C14EDC"/>
    <w:rsid w:val="25275D44"/>
    <w:rsid w:val="25F07D03"/>
    <w:rsid w:val="26200B53"/>
    <w:rsid w:val="26EB0FC0"/>
    <w:rsid w:val="2710439C"/>
    <w:rsid w:val="27126546"/>
    <w:rsid w:val="275562F6"/>
    <w:rsid w:val="27A1371A"/>
    <w:rsid w:val="28373825"/>
    <w:rsid w:val="28AD5F13"/>
    <w:rsid w:val="28B56EFC"/>
    <w:rsid w:val="28C61370"/>
    <w:rsid w:val="28EA49FA"/>
    <w:rsid w:val="293C1497"/>
    <w:rsid w:val="29577DB5"/>
    <w:rsid w:val="29D133E5"/>
    <w:rsid w:val="29F66275"/>
    <w:rsid w:val="2A052E2C"/>
    <w:rsid w:val="2A1849FF"/>
    <w:rsid w:val="2A4606A3"/>
    <w:rsid w:val="2A7573C6"/>
    <w:rsid w:val="2A7F5606"/>
    <w:rsid w:val="2A9A7B12"/>
    <w:rsid w:val="2AC76AB9"/>
    <w:rsid w:val="2C381C33"/>
    <w:rsid w:val="2D4636AE"/>
    <w:rsid w:val="2DD24F49"/>
    <w:rsid w:val="2E377A10"/>
    <w:rsid w:val="2EAF3C31"/>
    <w:rsid w:val="2ED77E4F"/>
    <w:rsid w:val="2F7C244D"/>
    <w:rsid w:val="30581BB4"/>
    <w:rsid w:val="305D7ACC"/>
    <w:rsid w:val="30784793"/>
    <w:rsid w:val="30AB6362"/>
    <w:rsid w:val="322B693C"/>
    <w:rsid w:val="33860606"/>
    <w:rsid w:val="33B8622E"/>
    <w:rsid w:val="3485494D"/>
    <w:rsid w:val="35494BAD"/>
    <w:rsid w:val="35597E14"/>
    <w:rsid w:val="35736FA0"/>
    <w:rsid w:val="35C1080E"/>
    <w:rsid w:val="35C428B0"/>
    <w:rsid w:val="35F67FCE"/>
    <w:rsid w:val="3652213C"/>
    <w:rsid w:val="3665411D"/>
    <w:rsid w:val="3670656A"/>
    <w:rsid w:val="36986BC5"/>
    <w:rsid w:val="370E314A"/>
    <w:rsid w:val="378D16B2"/>
    <w:rsid w:val="37D669E7"/>
    <w:rsid w:val="38532B0E"/>
    <w:rsid w:val="399A0FD9"/>
    <w:rsid w:val="39D6615E"/>
    <w:rsid w:val="39F743FC"/>
    <w:rsid w:val="3B320837"/>
    <w:rsid w:val="3B7852CE"/>
    <w:rsid w:val="3BAB66E2"/>
    <w:rsid w:val="3BD14C08"/>
    <w:rsid w:val="3C872DAC"/>
    <w:rsid w:val="3DA92602"/>
    <w:rsid w:val="3E3835C6"/>
    <w:rsid w:val="3E8A4F07"/>
    <w:rsid w:val="3EA03277"/>
    <w:rsid w:val="3EB33B51"/>
    <w:rsid w:val="3F6B2CD1"/>
    <w:rsid w:val="40B51A1E"/>
    <w:rsid w:val="411F6E0F"/>
    <w:rsid w:val="4142149D"/>
    <w:rsid w:val="41F212F5"/>
    <w:rsid w:val="423A1B9A"/>
    <w:rsid w:val="423E6953"/>
    <w:rsid w:val="426162CB"/>
    <w:rsid w:val="438D1F8D"/>
    <w:rsid w:val="44622A20"/>
    <w:rsid w:val="446B71B5"/>
    <w:rsid w:val="44FF4571"/>
    <w:rsid w:val="457C3DA0"/>
    <w:rsid w:val="46040D70"/>
    <w:rsid w:val="4686587F"/>
    <w:rsid w:val="47AE7DEC"/>
    <w:rsid w:val="481E5F79"/>
    <w:rsid w:val="485E723C"/>
    <w:rsid w:val="48C479F2"/>
    <w:rsid w:val="48D63175"/>
    <w:rsid w:val="48DC4226"/>
    <w:rsid w:val="49F41199"/>
    <w:rsid w:val="4AB211C2"/>
    <w:rsid w:val="4ACC0E37"/>
    <w:rsid w:val="4BF51838"/>
    <w:rsid w:val="4C044B73"/>
    <w:rsid w:val="4C084685"/>
    <w:rsid w:val="4C8001AC"/>
    <w:rsid w:val="4C941DDC"/>
    <w:rsid w:val="4C96625E"/>
    <w:rsid w:val="4DAB7C36"/>
    <w:rsid w:val="4E5733B3"/>
    <w:rsid w:val="4EAA16A0"/>
    <w:rsid w:val="4EAE6B4F"/>
    <w:rsid w:val="4EDB34C5"/>
    <w:rsid w:val="4EDE3616"/>
    <w:rsid w:val="4EE844F6"/>
    <w:rsid w:val="4F506BE8"/>
    <w:rsid w:val="4F5512C5"/>
    <w:rsid w:val="4FA95752"/>
    <w:rsid w:val="50463A91"/>
    <w:rsid w:val="50901621"/>
    <w:rsid w:val="50945594"/>
    <w:rsid w:val="527C0EFE"/>
    <w:rsid w:val="52825483"/>
    <w:rsid w:val="52F71117"/>
    <w:rsid w:val="53DB2E2A"/>
    <w:rsid w:val="53E756AD"/>
    <w:rsid w:val="53E9134E"/>
    <w:rsid w:val="541C4CC3"/>
    <w:rsid w:val="54982887"/>
    <w:rsid w:val="54B07093"/>
    <w:rsid w:val="54C57493"/>
    <w:rsid w:val="552E03B7"/>
    <w:rsid w:val="5551282E"/>
    <w:rsid w:val="55B20CFD"/>
    <w:rsid w:val="57583A74"/>
    <w:rsid w:val="5769756C"/>
    <w:rsid w:val="57AE7266"/>
    <w:rsid w:val="57AF2CBB"/>
    <w:rsid w:val="57F37AF4"/>
    <w:rsid w:val="58641807"/>
    <w:rsid w:val="587A204E"/>
    <w:rsid w:val="587F1FEF"/>
    <w:rsid w:val="58F554C9"/>
    <w:rsid w:val="5A0167DC"/>
    <w:rsid w:val="5A947A2B"/>
    <w:rsid w:val="5A965594"/>
    <w:rsid w:val="5AEF187B"/>
    <w:rsid w:val="5B1D5D2F"/>
    <w:rsid w:val="5B4C2032"/>
    <w:rsid w:val="5B656674"/>
    <w:rsid w:val="5B944D78"/>
    <w:rsid w:val="5BEB0816"/>
    <w:rsid w:val="5C2C3AB4"/>
    <w:rsid w:val="5C8124EE"/>
    <w:rsid w:val="5C814E2E"/>
    <w:rsid w:val="5CFD03FA"/>
    <w:rsid w:val="5D232F14"/>
    <w:rsid w:val="5D40198F"/>
    <w:rsid w:val="5D877618"/>
    <w:rsid w:val="5DCB1975"/>
    <w:rsid w:val="5DEA1E8B"/>
    <w:rsid w:val="5E3D4C23"/>
    <w:rsid w:val="5E834786"/>
    <w:rsid w:val="5E900F17"/>
    <w:rsid w:val="5F1D42B1"/>
    <w:rsid w:val="5F5F5A3D"/>
    <w:rsid w:val="60376135"/>
    <w:rsid w:val="6052562D"/>
    <w:rsid w:val="607515AB"/>
    <w:rsid w:val="60DA5BEA"/>
    <w:rsid w:val="60DF2DC4"/>
    <w:rsid w:val="614115A4"/>
    <w:rsid w:val="614948D8"/>
    <w:rsid w:val="62D94FCA"/>
    <w:rsid w:val="63665D2C"/>
    <w:rsid w:val="63A129BA"/>
    <w:rsid w:val="63BD73A4"/>
    <w:rsid w:val="645749D3"/>
    <w:rsid w:val="64E7540F"/>
    <w:rsid w:val="652A0E15"/>
    <w:rsid w:val="65457D38"/>
    <w:rsid w:val="6558224E"/>
    <w:rsid w:val="65590032"/>
    <w:rsid w:val="66911D66"/>
    <w:rsid w:val="66A511A0"/>
    <w:rsid w:val="66F33644"/>
    <w:rsid w:val="6724556F"/>
    <w:rsid w:val="673A7819"/>
    <w:rsid w:val="67407BB0"/>
    <w:rsid w:val="675E133B"/>
    <w:rsid w:val="67B80882"/>
    <w:rsid w:val="68900BA7"/>
    <w:rsid w:val="694B0EDD"/>
    <w:rsid w:val="6A5A4A70"/>
    <w:rsid w:val="6A713EA9"/>
    <w:rsid w:val="6C8023EA"/>
    <w:rsid w:val="6CA02CEB"/>
    <w:rsid w:val="6CCF3D90"/>
    <w:rsid w:val="6CFD24EA"/>
    <w:rsid w:val="6D2E0657"/>
    <w:rsid w:val="6DB33BDA"/>
    <w:rsid w:val="6DC55A41"/>
    <w:rsid w:val="6DE14B78"/>
    <w:rsid w:val="6EA30DC0"/>
    <w:rsid w:val="6EE120AA"/>
    <w:rsid w:val="6F22048E"/>
    <w:rsid w:val="704C28FA"/>
    <w:rsid w:val="7054443F"/>
    <w:rsid w:val="70D82769"/>
    <w:rsid w:val="713B33EE"/>
    <w:rsid w:val="717C6D77"/>
    <w:rsid w:val="720B6C44"/>
    <w:rsid w:val="72635606"/>
    <w:rsid w:val="72F53A46"/>
    <w:rsid w:val="73AD245B"/>
    <w:rsid w:val="73DC11C8"/>
    <w:rsid w:val="73F34B05"/>
    <w:rsid w:val="74DD66A9"/>
    <w:rsid w:val="74F664FD"/>
    <w:rsid w:val="761B553D"/>
    <w:rsid w:val="76200EFF"/>
    <w:rsid w:val="76613CDF"/>
    <w:rsid w:val="76CE1726"/>
    <w:rsid w:val="774632F2"/>
    <w:rsid w:val="774B4381"/>
    <w:rsid w:val="7758005D"/>
    <w:rsid w:val="778674C0"/>
    <w:rsid w:val="77A301F4"/>
    <w:rsid w:val="77B11112"/>
    <w:rsid w:val="78E11E08"/>
    <w:rsid w:val="79C1152D"/>
    <w:rsid w:val="7A152951"/>
    <w:rsid w:val="7A4273C0"/>
    <w:rsid w:val="7A8A444A"/>
    <w:rsid w:val="7A902559"/>
    <w:rsid w:val="7AD62EE4"/>
    <w:rsid w:val="7C794F01"/>
    <w:rsid w:val="7C881F2C"/>
    <w:rsid w:val="7CD307B4"/>
    <w:rsid w:val="7D930618"/>
    <w:rsid w:val="7D9777A8"/>
    <w:rsid w:val="7DA85B75"/>
    <w:rsid w:val="7DEA3A4A"/>
    <w:rsid w:val="7E3A51FE"/>
    <w:rsid w:val="7E4D059C"/>
    <w:rsid w:val="7E544AE5"/>
    <w:rsid w:val="7EB247C9"/>
    <w:rsid w:val="7ECD1667"/>
    <w:rsid w:val="7F5D6BFD"/>
    <w:rsid w:val="7FF35C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pPr>
    <w:rPr>
      <w:sz w:val="18"/>
      <w:szCs w:val="18"/>
    </w:rPr>
  </w:style>
  <w:style w:type="paragraph" w:styleId="3">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6">
    <w:name w:val="page number"/>
    <w:basedOn w:val="5"/>
    <w:qFormat/>
    <w:uiPriority w:val="99"/>
  </w:style>
  <w:style w:type="character" w:customStyle="1" w:styleId="8">
    <w:name w:val="页脚 Char"/>
    <w:basedOn w:val="5"/>
    <w:link w:val="2"/>
    <w:semiHidden/>
    <w:qFormat/>
    <w:locked/>
    <w:uiPriority w:val="99"/>
    <w:rPr>
      <w:rFonts w:ascii="Tahoma" w:hAnsi="Tahoma" w:cs="Tahoma"/>
      <w:sz w:val="18"/>
      <w:szCs w:val="18"/>
    </w:rPr>
  </w:style>
  <w:style w:type="character" w:customStyle="1" w:styleId="9">
    <w:name w:val="页眉 Char"/>
    <w:basedOn w:val="5"/>
    <w:link w:val="3"/>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16</Pages>
  <Words>1178</Words>
  <Characters>6719</Characters>
  <Lines>55</Lines>
  <Paragraphs>15</Paragraphs>
  <TotalTime>0</TotalTime>
  <ScaleCrop>false</ScaleCrop>
  <LinksUpToDate>false</LinksUpToDate>
  <CharactersWithSpaces>7882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2018-07-24T07:10:00Z</cp:lastPrinted>
  <dcterms:modified xsi:type="dcterms:W3CDTF">2018-08-01T03:35:48Z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